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95" w:rsidRPr="00200895" w:rsidRDefault="00200895" w:rsidP="00200895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200895">
        <w:rPr>
          <w:rFonts w:ascii="Palatino Linotype" w:hAnsi="Palatino Linotype"/>
          <w:b/>
          <w:sz w:val="26"/>
          <w:szCs w:val="26"/>
          <w:u w:val="single"/>
        </w:rPr>
        <w:t>PARECER JURÍDICO</w:t>
      </w:r>
    </w:p>
    <w:p w:rsidR="00200895" w:rsidRPr="00200895" w:rsidRDefault="00200895" w:rsidP="00200895">
      <w:pPr>
        <w:spacing w:line="240" w:lineRule="auto"/>
        <w:jc w:val="center"/>
        <w:rPr>
          <w:rFonts w:ascii="Palatino Linotype" w:hAnsi="Palatino Linotype"/>
          <w:b/>
          <w:sz w:val="26"/>
          <w:szCs w:val="26"/>
        </w:rPr>
      </w:pPr>
    </w:p>
    <w:p w:rsidR="00200895" w:rsidRPr="00200895" w:rsidRDefault="00200895" w:rsidP="00200895">
      <w:pPr>
        <w:spacing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</w:rPr>
        <w:t>PROJETO DE LEI Nº 68/2017</w:t>
      </w:r>
    </w:p>
    <w:p w:rsidR="00200895" w:rsidRDefault="00200895" w:rsidP="00200895">
      <w:pPr>
        <w:spacing w:line="240" w:lineRule="auto"/>
        <w:ind w:left="2835"/>
        <w:jc w:val="both"/>
        <w:rPr>
          <w:rFonts w:ascii="Palatino Linotype" w:hAnsi="Palatino Linotype"/>
          <w:b/>
          <w:sz w:val="26"/>
          <w:szCs w:val="26"/>
          <w:u w:val="single"/>
        </w:rPr>
      </w:pPr>
    </w:p>
    <w:p w:rsidR="00200895" w:rsidRPr="00200895" w:rsidRDefault="00200895" w:rsidP="00200895">
      <w:pPr>
        <w:spacing w:line="240" w:lineRule="auto"/>
        <w:ind w:left="283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  <w:u w:val="single"/>
        </w:rPr>
        <w:t>EMENTA</w:t>
      </w:r>
      <w:r w:rsidRPr="00200895">
        <w:rPr>
          <w:rFonts w:ascii="Palatino Linotype" w:hAnsi="Palatino Linotype"/>
          <w:b/>
          <w:sz w:val="26"/>
          <w:szCs w:val="26"/>
        </w:rPr>
        <w:t>:</w:t>
      </w:r>
      <w:r w:rsidRPr="00200895">
        <w:rPr>
          <w:rFonts w:ascii="Palatino Linotype" w:hAnsi="Palatino Linotype"/>
          <w:sz w:val="26"/>
          <w:szCs w:val="26"/>
        </w:rPr>
        <w:t xml:space="preserve"> “Dispõe sobre a concessão de Contribuição para a realização da Cantata de Natal do Conservatório Estadual de Música Lia Salgado e dá outras providências.</w:t>
      </w:r>
    </w:p>
    <w:p w:rsid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:rsid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</w:rPr>
        <w:t xml:space="preserve">Autoria: Prefeito Municipal </w:t>
      </w:r>
    </w:p>
    <w:p w:rsidR="00200895" w:rsidRP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:rsidR="00200895" w:rsidRP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</w:rPr>
        <w:t>1 – RELATÓRIO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Trata-se de Projeto de Lei, oriundo do Poder Executivo, tendo como objeto a autorização legislativa para concessão de contribuição ao Conservatório Estadual de Música Lia Salgado, para a realização da Cantata de Natal.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Foi juntada ao projeto a mensagem (fls. 04), na qual o Chefe do Poder Executivo demonstra as razões da sua proposição e pedido expresso de constituição de comissão especial, na forma regimental.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Junta, também, Declaração da Verificação da Estimativa do Impacto Orçamentário Financeiro (fls. 05).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Em síntese, o relatório.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Passamos à análise jurídica do Projeto de Lei.</w:t>
      </w:r>
    </w:p>
    <w:p w:rsidR="00200895" w:rsidRP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</w:rPr>
        <w:t>2 – DA FUNDAMENTAÇÃO</w:t>
      </w:r>
    </w:p>
    <w:p w:rsidR="00200895" w:rsidRPr="00200895" w:rsidRDefault="00200895" w:rsidP="00200895">
      <w:pPr>
        <w:spacing w:line="240" w:lineRule="auto"/>
        <w:ind w:left="2835"/>
        <w:jc w:val="both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  <w:u w:val="single"/>
        </w:rPr>
        <w:lastRenderedPageBreak/>
        <w:t>EMENTA</w:t>
      </w:r>
      <w:r w:rsidRPr="00200895">
        <w:rPr>
          <w:rFonts w:ascii="Palatino Linotype" w:hAnsi="Palatino Linotype"/>
          <w:b/>
          <w:sz w:val="26"/>
          <w:szCs w:val="26"/>
        </w:rPr>
        <w:t>: PROJETO DE LEI. APLICAÇÃO DA LEI 4.320/64. COMPETÊNCIA PRIVATIVA DO PODER EXECUTIVO. POSSIBILIDADE. JURIDICIDADE. CONSTITUCIONALIDADE.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O presente projeto de lei em tramitação no âmbito desta Casa Legislativa se reveste de legalidade e constitucionalidade.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A matéria nele contida (</w:t>
      </w:r>
      <w:r w:rsidR="00156777">
        <w:rPr>
          <w:rFonts w:ascii="Palatino Linotype" w:hAnsi="Palatino Linotype"/>
          <w:sz w:val="26"/>
          <w:szCs w:val="26"/>
        </w:rPr>
        <w:t>contribuição</w:t>
      </w:r>
      <w:r w:rsidRPr="00200895">
        <w:rPr>
          <w:rFonts w:ascii="Palatino Linotype" w:hAnsi="Palatino Linotype"/>
          <w:sz w:val="26"/>
          <w:szCs w:val="26"/>
        </w:rPr>
        <w:t>) se insere dentre as propostas de lei de competência privativa do Chefe do Poder Executivo, nos termos da Lei Orgânica do Município.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O valor proposto para a contribuição à entidade acima mencionada é de R$ 8.500,00 (oito mil e quinhentos reais), observando que a dotação orçamentária está expressamente consignada, como consta no seu artigo 1º.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Registramos, por oportuno, que o autor da proposição apresentou a Declaração da Verificação da Estima do Impacto Orçamentário Financeiro (fls. 05), na forma da Lei Complementar nº 101/2000 – Lei de Responsabilidade Fiscal.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Assim, verificamos que a proposta de lei se reveste de legalidade e constitucionalidade.</w:t>
      </w:r>
    </w:p>
    <w:p w:rsidR="00200895" w:rsidRP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</w:rPr>
        <w:t xml:space="preserve">3 – DAS RECOMENDAÇÕES – REDAÇÃO FINAL 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Para efeito de redação final, notadamente para adequação à boa técnica legislativa, recomendamos a retirada das aspas contidas, assim como a substituição do “</w:t>
      </w:r>
      <w:r w:rsidR="00156777">
        <w:rPr>
          <w:rFonts w:ascii="Palatino Linotype" w:hAnsi="Palatino Linotype"/>
          <w:sz w:val="26"/>
          <w:szCs w:val="26"/>
        </w:rPr>
        <w:t>c</w:t>
      </w:r>
      <w:r w:rsidRPr="00200895">
        <w:rPr>
          <w:rFonts w:ascii="Palatino Linotype" w:hAnsi="Palatino Linotype"/>
          <w:sz w:val="26"/>
          <w:szCs w:val="26"/>
        </w:rPr>
        <w:t>” maiúsculo por minúsculo da palavra “Contribuição”, na ementa do Projeto de Lei.</w:t>
      </w:r>
    </w:p>
    <w:p w:rsidR="00200895" w:rsidRPr="00200895" w:rsidRDefault="00200895" w:rsidP="00200895">
      <w:pPr>
        <w:spacing w:line="240" w:lineRule="auto"/>
        <w:jc w:val="both"/>
        <w:rPr>
          <w:rFonts w:ascii="Palatino Linotype" w:hAnsi="Palatino Linotype"/>
          <w:b/>
          <w:sz w:val="26"/>
          <w:szCs w:val="26"/>
        </w:rPr>
      </w:pPr>
      <w:r w:rsidRPr="00200895">
        <w:rPr>
          <w:rFonts w:ascii="Palatino Linotype" w:hAnsi="Palatino Linotype"/>
          <w:b/>
          <w:sz w:val="26"/>
          <w:szCs w:val="26"/>
        </w:rPr>
        <w:t>4 – DA CONCLUSÃO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 xml:space="preserve">Em vista do exposto, sem mais delongas, opinamos no sentido de que o Projeto de Lei em epígrafe, </w:t>
      </w:r>
      <w:r w:rsidRPr="00200895">
        <w:rPr>
          <w:rFonts w:ascii="Palatino Linotype" w:hAnsi="Palatino Linotype"/>
          <w:b/>
          <w:sz w:val="26"/>
          <w:szCs w:val="26"/>
        </w:rPr>
        <w:t>pode ser apreciado por esta Casa Legislativa</w:t>
      </w:r>
      <w:r w:rsidRPr="00200895">
        <w:rPr>
          <w:rFonts w:ascii="Palatino Linotype" w:hAnsi="Palatino Linotype"/>
          <w:sz w:val="26"/>
          <w:szCs w:val="26"/>
        </w:rPr>
        <w:t xml:space="preserve">, tendo em vista que se reveste de legalidade, </w:t>
      </w:r>
      <w:r w:rsidRPr="00200895">
        <w:rPr>
          <w:rFonts w:ascii="Palatino Linotype" w:hAnsi="Palatino Linotype"/>
          <w:sz w:val="26"/>
          <w:szCs w:val="26"/>
        </w:rPr>
        <w:lastRenderedPageBreak/>
        <w:t>juridicidade e constitucionalidade, observadas as recomendações acima (item 3) e evidentemente as disposições regimentais vigentes.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 xml:space="preserve">No que tange ao mérito, nele incluído a oportunidade e conveniência acerca da aprovação da matéria, não nos pronunciamos, tendo em vista que tal atribuição é dos parlamentares na função político legislativa. 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É o parecer, sob censura.</w:t>
      </w:r>
    </w:p>
    <w:p w:rsidR="00200895" w:rsidRPr="00200895" w:rsidRDefault="00200895" w:rsidP="00200895">
      <w:pPr>
        <w:spacing w:line="240" w:lineRule="auto"/>
        <w:ind w:firstLine="1985"/>
        <w:jc w:val="both"/>
        <w:rPr>
          <w:rFonts w:ascii="Palatino Linotype" w:hAnsi="Palatino Linotype"/>
          <w:sz w:val="26"/>
          <w:szCs w:val="26"/>
        </w:rPr>
      </w:pPr>
      <w:r w:rsidRPr="00200895">
        <w:rPr>
          <w:rFonts w:ascii="Palatino Linotype" w:hAnsi="Palatino Linotype"/>
          <w:sz w:val="26"/>
          <w:szCs w:val="26"/>
        </w:rPr>
        <w:t>Câmara Municipal de Leopoldina, aos 30 de novembro de 2017.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701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701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701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EMANUEL ARAÚJO DE AZEVEDO ANTUNES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               Assessor Jurídico – OAB/MG 82536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                  WESLEY MORAES BOTELHO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              Assessor Jurídico – OAB/MG 45047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           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      MARCUS VINÍCIUS DE MIRANDA FAJARDO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  <w:r w:rsidRPr="00200895">
        <w:rPr>
          <w:rFonts w:ascii="Book Antiqua" w:hAnsi="Book Antiqua"/>
          <w:b/>
          <w:sz w:val="26"/>
          <w:szCs w:val="26"/>
        </w:rPr>
        <w:t xml:space="preserve">                       Assessor Jurídico – OAB/MG 101045</w:t>
      </w: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tabs>
          <w:tab w:val="left" w:pos="2987"/>
        </w:tabs>
        <w:spacing w:after="0" w:line="240" w:lineRule="auto"/>
        <w:ind w:firstLine="1418"/>
        <w:jc w:val="both"/>
        <w:rPr>
          <w:rFonts w:ascii="Book Antiqua" w:hAnsi="Book Antiqua"/>
          <w:b/>
          <w:sz w:val="26"/>
          <w:szCs w:val="26"/>
        </w:rPr>
      </w:pPr>
    </w:p>
    <w:p w:rsidR="00200895" w:rsidRPr="00200895" w:rsidRDefault="00200895" w:rsidP="00200895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:rsidR="00444988" w:rsidRPr="00200895" w:rsidRDefault="00760D19">
      <w:pPr>
        <w:rPr>
          <w:sz w:val="26"/>
          <w:szCs w:val="26"/>
        </w:rPr>
      </w:pPr>
    </w:p>
    <w:sectPr w:rsidR="00444988" w:rsidRPr="00200895" w:rsidSect="00200895">
      <w:headerReference w:type="default" r:id="rId6"/>
      <w:pgSz w:w="11906" w:h="16838"/>
      <w:pgMar w:top="1418" w:right="85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D19" w:rsidRDefault="00760D19" w:rsidP="00200895">
      <w:pPr>
        <w:spacing w:after="0" w:line="240" w:lineRule="auto"/>
      </w:pPr>
      <w:r>
        <w:separator/>
      </w:r>
    </w:p>
  </w:endnote>
  <w:endnote w:type="continuationSeparator" w:id="1">
    <w:p w:rsidR="00760D19" w:rsidRDefault="00760D19" w:rsidP="0020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D19" w:rsidRDefault="00760D19" w:rsidP="00200895">
      <w:pPr>
        <w:spacing w:after="0" w:line="240" w:lineRule="auto"/>
      </w:pPr>
      <w:r>
        <w:separator/>
      </w:r>
    </w:p>
  </w:footnote>
  <w:footnote w:type="continuationSeparator" w:id="1">
    <w:p w:rsidR="00760D19" w:rsidRDefault="00760D19" w:rsidP="0020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95" w:rsidRPr="00831CE4" w:rsidRDefault="00200895" w:rsidP="00200895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0895" w:rsidRPr="00831CE4" w:rsidRDefault="00200895" w:rsidP="00200895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200895" w:rsidRDefault="00200895" w:rsidP="00200895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200895" w:rsidRPr="00485691" w:rsidRDefault="00200895" w:rsidP="00200895">
    <w:pPr>
      <w:pStyle w:val="Cabealho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                               </w:t>
    </w:r>
    <w:r w:rsidRPr="00831CE4">
      <w:rPr>
        <w:b/>
        <w:bCs/>
        <w:sz w:val="32"/>
        <w:szCs w:val="32"/>
      </w:rPr>
      <w:t>Assessoria Jurídica</w:t>
    </w:r>
    <w:r>
      <w:rPr>
        <w:b/>
        <w:bCs/>
        <w:sz w:val="32"/>
        <w:szCs w:val="32"/>
      </w:rPr>
      <w:t xml:space="preserve"> </w:t>
    </w:r>
  </w:p>
  <w:p w:rsidR="00200895" w:rsidRDefault="002008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895"/>
    <w:rsid w:val="000A2431"/>
    <w:rsid w:val="00156777"/>
    <w:rsid w:val="00200895"/>
    <w:rsid w:val="00237B15"/>
    <w:rsid w:val="00760D19"/>
    <w:rsid w:val="00894A21"/>
    <w:rsid w:val="008E4239"/>
    <w:rsid w:val="00CD4D92"/>
    <w:rsid w:val="00FB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95"/>
  </w:style>
  <w:style w:type="paragraph" w:styleId="Ttulo1">
    <w:name w:val="heading 1"/>
    <w:aliases w:val="título 1"/>
    <w:basedOn w:val="Normal"/>
    <w:next w:val="Normal"/>
    <w:link w:val="Ttulo1Char"/>
    <w:qFormat/>
    <w:rsid w:val="002008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00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895"/>
  </w:style>
  <w:style w:type="paragraph" w:styleId="Rodap">
    <w:name w:val="footer"/>
    <w:basedOn w:val="Normal"/>
    <w:link w:val="RodapChar"/>
    <w:uiPriority w:val="99"/>
    <w:semiHidden/>
    <w:unhideWhenUsed/>
    <w:rsid w:val="00200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0895"/>
  </w:style>
  <w:style w:type="paragraph" w:styleId="Textodebalo">
    <w:name w:val="Balloon Text"/>
    <w:basedOn w:val="Normal"/>
    <w:link w:val="TextodebaloChar"/>
    <w:uiPriority w:val="99"/>
    <w:semiHidden/>
    <w:unhideWhenUsed/>
    <w:rsid w:val="0020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89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200895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3</cp:revision>
  <cp:lastPrinted>2017-11-30T15:04:00Z</cp:lastPrinted>
  <dcterms:created xsi:type="dcterms:W3CDTF">2017-11-30T14:54:00Z</dcterms:created>
  <dcterms:modified xsi:type="dcterms:W3CDTF">2017-11-30T15:11:00Z</dcterms:modified>
</cp:coreProperties>
</file>