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4B" w:rsidRPr="00C77509" w:rsidRDefault="001D474B" w:rsidP="00265541">
      <w:pPr>
        <w:spacing w:before="240" w:after="240" w:line="240" w:lineRule="auto"/>
        <w:jc w:val="center"/>
        <w:rPr>
          <w:rFonts w:ascii="Book Antiqua" w:hAnsi="Book Antiqua"/>
          <w:b/>
          <w:sz w:val="25"/>
          <w:szCs w:val="25"/>
          <w:u w:val="single"/>
        </w:rPr>
      </w:pPr>
      <w:r w:rsidRPr="00C77509">
        <w:rPr>
          <w:rFonts w:ascii="Book Antiqua" w:hAnsi="Book Antiqua"/>
          <w:b/>
          <w:sz w:val="25"/>
          <w:szCs w:val="25"/>
          <w:u w:val="single"/>
        </w:rPr>
        <w:t xml:space="preserve">PARECER JURÍDICO </w:t>
      </w:r>
    </w:p>
    <w:p w:rsidR="001D474B" w:rsidRPr="00C77509" w:rsidRDefault="001D474B" w:rsidP="00265541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  <w:u w:val="single"/>
        </w:rPr>
      </w:pPr>
      <w:r w:rsidRPr="00C77509">
        <w:rPr>
          <w:rFonts w:ascii="Book Antiqua" w:hAnsi="Book Antiqua"/>
          <w:b/>
          <w:sz w:val="25"/>
          <w:szCs w:val="25"/>
          <w:u w:val="single"/>
        </w:rPr>
        <w:t>PROJETO DE LEI ORDINÁRIA Nº 0</w:t>
      </w:r>
      <w:r w:rsidR="00487A41">
        <w:rPr>
          <w:rFonts w:ascii="Book Antiqua" w:hAnsi="Book Antiqua"/>
          <w:b/>
          <w:sz w:val="25"/>
          <w:szCs w:val="25"/>
          <w:u w:val="single"/>
        </w:rPr>
        <w:t>3</w:t>
      </w:r>
      <w:r w:rsidRPr="00C77509">
        <w:rPr>
          <w:rFonts w:ascii="Book Antiqua" w:hAnsi="Book Antiqua"/>
          <w:b/>
          <w:sz w:val="25"/>
          <w:szCs w:val="25"/>
          <w:u w:val="single"/>
        </w:rPr>
        <w:t>/2018</w:t>
      </w:r>
      <w:r w:rsidR="004425B2" w:rsidRPr="00C77509">
        <w:rPr>
          <w:rFonts w:ascii="Book Antiqua" w:hAnsi="Book Antiqua"/>
          <w:sz w:val="25"/>
          <w:szCs w:val="25"/>
        </w:rPr>
        <w:t xml:space="preserve">, </w:t>
      </w:r>
      <w:r w:rsidR="004425B2" w:rsidRPr="00C77509">
        <w:rPr>
          <w:rFonts w:ascii="Book Antiqua" w:hAnsi="Book Antiqua"/>
          <w:b/>
          <w:sz w:val="25"/>
          <w:szCs w:val="25"/>
        </w:rPr>
        <w:t>que “</w:t>
      </w:r>
      <w:r w:rsidRPr="00C77509">
        <w:rPr>
          <w:rFonts w:ascii="Book Antiqua" w:hAnsi="Book Antiqua"/>
          <w:b/>
          <w:sz w:val="25"/>
          <w:szCs w:val="25"/>
        </w:rPr>
        <w:t>Autoriza o Poder Executivo a conceder gratificação aos servidores municipais para a execução do serviço de entrega de carnês do Imposto Predial Territorial Urbano – IPTU e dá outras providências</w:t>
      </w:r>
      <w:r w:rsidR="004425B2" w:rsidRPr="00C77509">
        <w:rPr>
          <w:rFonts w:ascii="Book Antiqua" w:hAnsi="Book Antiqua"/>
          <w:b/>
          <w:sz w:val="25"/>
          <w:szCs w:val="25"/>
        </w:rPr>
        <w:t>”</w:t>
      </w:r>
      <w:r w:rsidRPr="00C77509">
        <w:rPr>
          <w:rFonts w:ascii="Book Antiqua" w:hAnsi="Book Antiqua"/>
          <w:b/>
          <w:sz w:val="25"/>
          <w:szCs w:val="25"/>
        </w:rPr>
        <w:t>.</w:t>
      </w:r>
    </w:p>
    <w:p w:rsidR="001D474B" w:rsidRPr="00C77509" w:rsidRDefault="001D474B" w:rsidP="00265541">
      <w:pPr>
        <w:spacing w:before="240" w:after="240" w:line="240" w:lineRule="auto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Autoria: Prefeito Municipal de Leopoldina</w:t>
      </w:r>
    </w:p>
    <w:p w:rsidR="001D474B" w:rsidRPr="00C77509" w:rsidRDefault="001D474B" w:rsidP="00265541">
      <w:pPr>
        <w:spacing w:before="240" w:after="240" w:line="240" w:lineRule="auto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1 – DO RELATÓRIO</w:t>
      </w:r>
    </w:p>
    <w:p w:rsidR="001D474B" w:rsidRPr="00C77509" w:rsidRDefault="001D474B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Trata-se de Projeto de Lei ac</w:t>
      </w:r>
      <w:r w:rsidR="00697572" w:rsidRPr="00C77509">
        <w:rPr>
          <w:rFonts w:ascii="Book Antiqua" w:hAnsi="Book Antiqua"/>
          <w:sz w:val="25"/>
          <w:szCs w:val="25"/>
        </w:rPr>
        <w:t xml:space="preserve">ima epigrafado, através do qual, </w:t>
      </w:r>
      <w:r w:rsidRPr="00C77509">
        <w:rPr>
          <w:rFonts w:ascii="Book Antiqua" w:hAnsi="Book Antiqua"/>
          <w:sz w:val="25"/>
          <w:szCs w:val="25"/>
        </w:rPr>
        <w:t>em apertada síntese, o autor, o Excelentíssimo</w:t>
      </w:r>
      <w:r w:rsidR="00697572" w:rsidRPr="00C77509">
        <w:rPr>
          <w:rFonts w:ascii="Book Antiqua" w:hAnsi="Book Antiqua"/>
          <w:sz w:val="25"/>
          <w:szCs w:val="25"/>
        </w:rPr>
        <w:t xml:space="preserve"> Senhor </w:t>
      </w:r>
      <w:r w:rsidRPr="00C77509">
        <w:rPr>
          <w:rFonts w:ascii="Book Antiqua" w:hAnsi="Book Antiqua"/>
          <w:sz w:val="25"/>
          <w:szCs w:val="25"/>
        </w:rPr>
        <w:t>Prefeito Municipal, pede a autorização para a concessão de gratificação aos servidores municipais para a execução do serviço de entrega de carnês do Imposto Predial Territorial Urbano – IPTU e dá outras providências.</w:t>
      </w:r>
    </w:p>
    <w:p w:rsidR="001D474B" w:rsidRPr="00C77509" w:rsidRDefault="001D474B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O projeto contém nove artigos, alguns fracionados em parágrafos e incisos, incluindo aqueles que dizem respeito às cláus</w:t>
      </w:r>
      <w:r w:rsidR="00697572" w:rsidRPr="00C77509">
        <w:rPr>
          <w:rFonts w:ascii="Book Antiqua" w:hAnsi="Book Antiqua"/>
          <w:sz w:val="25"/>
          <w:szCs w:val="25"/>
        </w:rPr>
        <w:t>ulas de vigência e de revogação, em especial, da Lei Municipal nº 4.016, de 4 de abril de 2012.</w:t>
      </w:r>
    </w:p>
    <w:p w:rsidR="001D474B" w:rsidRPr="00C77509" w:rsidRDefault="001D474B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Na justificativa anexa ao Projeto de Lei, em apertada síntese, o autor evidencia a notoriedade da distribuição do carnê do Imposto Predial Territorial Urbano – IPTU por servidores municipais da Prefeitura de Leopoldina, porta a porta, em cada uma das residências do município, o que geraria economia ao erário e celeridade na prestação dos serviços.</w:t>
      </w:r>
    </w:p>
    <w:p w:rsidR="001D474B" w:rsidRPr="00C77509" w:rsidRDefault="001D474B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Propõe o alcaide, no artigo 2º, § 1º da proposta de lei, que os serviços sejam prestados por servidores que trabalham nas Unidades de Estratégia Saúde da Família (ESF),</w:t>
      </w:r>
      <w:r w:rsidR="004A1A94" w:rsidRPr="00C77509">
        <w:rPr>
          <w:rFonts w:ascii="Book Antiqua" w:hAnsi="Book Antiqua"/>
          <w:sz w:val="25"/>
          <w:szCs w:val="25"/>
        </w:rPr>
        <w:t xml:space="preserve"> lotados que são no âmbito da Secretaria Municipal de Saúde, argumentando que “por já estarem acostumados e frequentemente já fazem visitas n</w:t>
      </w:r>
      <w:r w:rsidR="00300640" w:rsidRPr="00C77509">
        <w:rPr>
          <w:rFonts w:ascii="Book Antiqua" w:hAnsi="Book Antiqua"/>
          <w:sz w:val="25"/>
          <w:szCs w:val="25"/>
        </w:rPr>
        <w:t>os domicílios da população atend</w:t>
      </w:r>
      <w:r w:rsidR="004A1A94" w:rsidRPr="00C77509">
        <w:rPr>
          <w:rFonts w:ascii="Book Antiqua" w:hAnsi="Book Antiqua"/>
          <w:sz w:val="25"/>
          <w:szCs w:val="25"/>
        </w:rPr>
        <w:t>idas na região daquela unidade da saúde, torna-se uma forma eficiente de fazer chegar às mãos do contribuinte o imposto de IPTU”.</w:t>
      </w:r>
    </w:p>
    <w:p w:rsidR="004A1A94" w:rsidRPr="00C77509" w:rsidRDefault="004A1A94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Esclarece, ainda, o Prefeito, na Mensagem, que os servidores interessados e selecionados irão</w:t>
      </w:r>
      <w:r w:rsidR="004425B2" w:rsidRPr="00C77509">
        <w:rPr>
          <w:rFonts w:ascii="Book Antiqua" w:hAnsi="Book Antiqua"/>
          <w:sz w:val="25"/>
          <w:szCs w:val="25"/>
        </w:rPr>
        <w:t xml:space="preserve"> trabalha</w:t>
      </w:r>
      <w:r w:rsidRPr="00C77509">
        <w:rPr>
          <w:rFonts w:ascii="Book Antiqua" w:hAnsi="Book Antiqua"/>
          <w:sz w:val="25"/>
          <w:szCs w:val="25"/>
        </w:rPr>
        <w:t xml:space="preserve">r divididos por setores, em regra </w:t>
      </w:r>
      <w:r w:rsidRPr="00C77509">
        <w:rPr>
          <w:rFonts w:ascii="Book Antiqua" w:hAnsi="Book Antiqua"/>
          <w:sz w:val="25"/>
          <w:szCs w:val="25"/>
        </w:rPr>
        <w:lastRenderedPageBreak/>
        <w:t>nos bairros onde estão lotados nas suas referidas Unidades de Saúde ESF, pela facilidade de serem mais conhecidos e, desta forma, a entregarem os carnês de IPTU aos seus respectivos responsáveis.</w:t>
      </w:r>
    </w:p>
    <w:p w:rsidR="004A1A94" w:rsidRPr="00C77509" w:rsidRDefault="004A1A94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Solicita a instalação de uma Comissão Especial para apreciação da matéria e, caso não seja acolhida, pugnou pela aplicabilidade e cumprimento do prazo disposto no artigo 162 e seguintes do Regimento Interno desta Casa Legislativa, bem como a convocação de reunião extraordinária, na forma prevista na Lei Orgânica do Município, para inclusão do presente projeto de lei na pauta extraordinária.</w:t>
      </w:r>
    </w:p>
    <w:p w:rsidR="002D1656" w:rsidRPr="00C77509" w:rsidRDefault="002D1656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Do necessário e em apertada síntese, para colocação da matéria, é o relatório.</w:t>
      </w:r>
    </w:p>
    <w:p w:rsidR="002D1656" w:rsidRPr="00C77509" w:rsidRDefault="002D1656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Passamos à fundamentação.</w:t>
      </w:r>
    </w:p>
    <w:p w:rsidR="004A1A94" w:rsidRPr="00C77509" w:rsidRDefault="004A1A94" w:rsidP="00265541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2 – DA FUNDAMENTAÇÃO</w:t>
      </w:r>
    </w:p>
    <w:p w:rsidR="004A1A94" w:rsidRPr="00C77509" w:rsidRDefault="004A1A94" w:rsidP="00265541">
      <w:pPr>
        <w:spacing w:before="240" w:after="240" w:line="240" w:lineRule="auto"/>
        <w:ind w:left="1701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  <w:u w:val="single"/>
        </w:rPr>
        <w:t>EMENTA</w:t>
      </w:r>
      <w:r w:rsidRPr="00C77509">
        <w:rPr>
          <w:rFonts w:ascii="Book Antiqua" w:hAnsi="Book Antiqua"/>
          <w:b/>
          <w:sz w:val="25"/>
          <w:szCs w:val="25"/>
        </w:rPr>
        <w:t>: ADMINISTRATIVO. CONSTITUCIONAL. PROJETO DE LEI ORDINÁRIA. ENTREGA DE CARNÊS DO IPTU POR SERVI</w:t>
      </w:r>
      <w:r w:rsidR="002D1656" w:rsidRPr="00C77509">
        <w:rPr>
          <w:rFonts w:ascii="Book Antiqua" w:hAnsi="Book Antiqua"/>
          <w:b/>
          <w:sz w:val="25"/>
          <w:szCs w:val="25"/>
        </w:rPr>
        <w:t>DORES MUNICIPAIS. POSSIBILIDADE.</w:t>
      </w:r>
      <w:r w:rsidRPr="00C77509">
        <w:rPr>
          <w:rFonts w:ascii="Book Antiqua" w:hAnsi="Book Antiqua"/>
          <w:b/>
          <w:sz w:val="25"/>
          <w:szCs w:val="25"/>
        </w:rPr>
        <w:t xml:space="preserve"> </w:t>
      </w:r>
      <w:r w:rsidR="00155014" w:rsidRPr="00C77509">
        <w:rPr>
          <w:rFonts w:ascii="Book Antiqua" w:hAnsi="Book Antiqua"/>
          <w:b/>
          <w:sz w:val="25"/>
          <w:szCs w:val="25"/>
        </w:rPr>
        <w:t>MATÉRIA DECIDI</w:t>
      </w:r>
      <w:r w:rsidR="00697572" w:rsidRPr="00C77509">
        <w:rPr>
          <w:rFonts w:ascii="Book Antiqua" w:hAnsi="Book Antiqua"/>
          <w:b/>
          <w:sz w:val="25"/>
          <w:szCs w:val="25"/>
        </w:rPr>
        <w:t>D</w:t>
      </w:r>
      <w:r w:rsidR="00155014" w:rsidRPr="00C77509">
        <w:rPr>
          <w:rFonts w:ascii="Book Antiqua" w:hAnsi="Book Antiqua"/>
          <w:b/>
          <w:sz w:val="25"/>
          <w:szCs w:val="25"/>
        </w:rPr>
        <w:t>A PELO SUP</w:t>
      </w:r>
      <w:r w:rsidR="00487A41">
        <w:rPr>
          <w:rFonts w:ascii="Book Antiqua" w:hAnsi="Book Antiqua"/>
          <w:b/>
          <w:sz w:val="25"/>
          <w:szCs w:val="25"/>
        </w:rPr>
        <w:t>ERIOR</w:t>
      </w:r>
      <w:r w:rsidR="00155014" w:rsidRPr="00C77509">
        <w:rPr>
          <w:rFonts w:ascii="Book Antiqua" w:hAnsi="Book Antiqua"/>
          <w:b/>
          <w:sz w:val="25"/>
          <w:szCs w:val="25"/>
        </w:rPr>
        <w:t xml:space="preserve"> TRIBUNAL </w:t>
      </w:r>
      <w:r w:rsidR="00487A41">
        <w:rPr>
          <w:rFonts w:ascii="Book Antiqua" w:hAnsi="Book Antiqua"/>
          <w:b/>
          <w:sz w:val="25"/>
          <w:szCs w:val="25"/>
        </w:rPr>
        <w:t>DE JUSTIÇA</w:t>
      </w:r>
      <w:r w:rsidR="00155014" w:rsidRPr="00C77509">
        <w:rPr>
          <w:rFonts w:ascii="Book Antiqua" w:hAnsi="Book Antiqua"/>
          <w:b/>
          <w:sz w:val="25"/>
          <w:szCs w:val="25"/>
        </w:rPr>
        <w:t>. MONOPÓLIO DA EMPRESA BRASILEIRA DE CORREIOS E TELÉGRAFOS. NÃO APLICABILIDADE</w:t>
      </w:r>
      <w:r w:rsidR="002D1656" w:rsidRPr="00C77509">
        <w:rPr>
          <w:rFonts w:ascii="Book Antiqua" w:hAnsi="Book Antiqua"/>
          <w:b/>
          <w:sz w:val="25"/>
          <w:szCs w:val="25"/>
        </w:rPr>
        <w:t xml:space="preserve"> AO CASO CONCRETO</w:t>
      </w:r>
      <w:r w:rsidR="00965B95" w:rsidRPr="00C77509">
        <w:rPr>
          <w:rFonts w:ascii="Book Antiqua" w:hAnsi="Book Antiqua"/>
          <w:b/>
          <w:sz w:val="25"/>
          <w:szCs w:val="25"/>
        </w:rPr>
        <w:t>.  PREFERÊNCIA EXPRESSA NO TEXTO PROPOSTO AOS AGENTES COMUNITÁRIOS DE SAÚDE PARA EXECUÇÃO DO SERVIÇO. MENSAGEM QUE SUSTENTA A HIPÓTESE DE ECONOMIA AO ERÁRIO E CELERIDADE. OPORTUNIDADE E CONVENIÊNCIA DA ADMINISTRAÇÃO.</w:t>
      </w:r>
      <w:r w:rsidR="00A42B6B">
        <w:rPr>
          <w:rFonts w:ascii="Book Antiqua" w:hAnsi="Book Antiqua"/>
          <w:b/>
          <w:sz w:val="25"/>
          <w:szCs w:val="25"/>
        </w:rPr>
        <w:t xml:space="preserve"> CONSTITUCIONALIDADE.</w:t>
      </w:r>
      <w:r w:rsidR="00965B95" w:rsidRPr="00C77509">
        <w:rPr>
          <w:rFonts w:ascii="Book Antiqua" w:hAnsi="Book Antiqua"/>
          <w:b/>
          <w:sz w:val="25"/>
          <w:szCs w:val="25"/>
        </w:rPr>
        <w:t xml:space="preserve"> </w:t>
      </w:r>
      <w:r w:rsidR="00155014" w:rsidRPr="00C77509">
        <w:rPr>
          <w:rFonts w:ascii="Book Antiqua" w:hAnsi="Book Antiqua"/>
          <w:b/>
          <w:sz w:val="25"/>
          <w:szCs w:val="25"/>
        </w:rPr>
        <w:t>LE</w:t>
      </w:r>
      <w:r w:rsidR="002D1656" w:rsidRPr="00C77509">
        <w:rPr>
          <w:rFonts w:ascii="Book Antiqua" w:hAnsi="Book Antiqua"/>
          <w:b/>
          <w:sz w:val="25"/>
          <w:szCs w:val="25"/>
        </w:rPr>
        <w:t xml:space="preserve">GALIDADE. JURIDICIDADE. </w:t>
      </w:r>
    </w:p>
    <w:p w:rsidR="00C116BA" w:rsidRPr="00C77509" w:rsidRDefault="00C116BA" w:rsidP="00C116BA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2.1 – CONSIDERAÇÕES GERAIS</w:t>
      </w:r>
    </w:p>
    <w:p w:rsidR="00697572" w:rsidRPr="00C77509" w:rsidRDefault="0065210E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Trata-se de Projeto de Lei, proposto pelo Prefeito Municipal, através da qual pretende </w:t>
      </w:r>
      <w:r w:rsidR="00697572" w:rsidRPr="00C77509">
        <w:rPr>
          <w:rFonts w:ascii="Book Antiqua" w:hAnsi="Book Antiqua"/>
          <w:sz w:val="25"/>
          <w:szCs w:val="25"/>
        </w:rPr>
        <w:t>obter autorização para a concessão de gratificação aos servidores municipais para a execução do serviço de entrega de carnês do Imposto Predial Territorial Urbano – IPTU e dá outras providências.</w:t>
      </w:r>
    </w:p>
    <w:p w:rsidR="00C116BA" w:rsidRPr="00C77509" w:rsidRDefault="00C116BA" w:rsidP="00C116BA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lastRenderedPageBreak/>
        <w:t xml:space="preserve">2.2 – DA NECESSIDADE DE ADEQUAÇÃO DO PROJETO DE LEI. HIPÓTESE DE PROPOSTA DE PEQUENAS ALTERAÇÕES A LEI VIGENTE. REVOGAÇÃO TOTAL DO TEXTO LEGAL VIGENTE. IMPOSSIVILIDADE. </w:t>
      </w:r>
      <w:r w:rsidR="008A57A9">
        <w:rPr>
          <w:rFonts w:ascii="Book Antiqua" w:hAnsi="Book Antiqua"/>
          <w:b/>
          <w:sz w:val="25"/>
          <w:szCs w:val="25"/>
        </w:rPr>
        <w:t>APLICAÇÃO DA REDAÇÃO</w:t>
      </w:r>
      <w:r w:rsidRPr="00C77509">
        <w:rPr>
          <w:rFonts w:ascii="Book Antiqua" w:hAnsi="Book Antiqua"/>
          <w:b/>
          <w:sz w:val="25"/>
          <w:szCs w:val="25"/>
        </w:rPr>
        <w:t xml:space="preserve"> DO ARTIGO 12, INCISO</w:t>
      </w:r>
      <w:r w:rsidR="008A57A9">
        <w:rPr>
          <w:rFonts w:ascii="Book Antiqua" w:hAnsi="Book Antiqua"/>
          <w:b/>
          <w:sz w:val="25"/>
          <w:szCs w:val="25"/>
        </w:rPr>
        <w:t>S</w:t>
      </w:r>
      <w:r w:rsidRPr="00C77509">
        <w:rPr>
          <w:rFonts w:ascii="Book Antiqua" w:hAnsi="Book Antiqua"/>
          <w:b/>
          <w:sz w:val="25"/>
          <w:szCs w:val="25"/>
        </w:rPr>
        <w:t xml:space="preserve"> I</w:t>
      </w:r>
      <w:r w:rsidR="008A57A9">
        <w:rPr>
          <w:rFonts w:ascii="Book Antiqua" w:hAnsi="Book Antiqua"/>
          <w:b/>
          <w:sz w:val="25"/>
          <w:szCs w:val="25"/>
        </w:rPr>
        <w:t xml:space="preserve"> e II</w:t>
      </w:r>
      <w:r w:rsidRPr="00C77509">
        <w:rPr>
          <w:rFonts w:ascii="Book Antiqua" w:hAnsi="Book Antiqua"/>
          <w:b/>
          <w:sz w:val="25"/>
          <w:szCs w:val="25"/>
        </w:rPr>
        <w:t>, DA LEI COMPLEMENTAR FEDERAL Nº 95/98. NECESSIDADE DE PROPOSIÇÃO DE SUBSTITUTIVO OU DEVOLUÇÃO DO PROJETO AO AUTOR PARA ADEQUAÇÃO.</w:t>
      </w:r>
    </w:p>
    <w:p w:rsidR="00423C85" w:rsidRPr="00C77509" w:rsidRDefault="002D47C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Preliminarmente</w:t>
      </w:r>
      <w:r w:rsidR="00423C85" w:rsidRPr="00C77509">
        <w:rPr>
          <w:rFonts w:ascii="Book Antiqua" w:hAnsi="Book Antiqua"/>
          <w:sz w:val="25"/>
          <w:szCs w:val="25"/>
        </w:rPr>
        <w:t xml:space="preserve">, </w:t>
      </w:r>
      <w:r w:rsidRPr="00C77509">
        <w:rPr>
          <w:rFonts w:ascii="Book Antiqua" w:hAnsi="Book Antiqua"/>
          <w:sz w:val="25"/>
          <w:szCs w:val="25"/>
        </w:rPr>
        <w:t xml:space="preserve">verifica-se que </w:t>
      </w:r>
      <w:r w:rsidR="00423C85" w:rsidRPr="00C77509">
        <w:rPr>
          <w:rFonts w:ascii="Book Antiqua" w:hAnsi="Book Antiqua"/>
          <w:sz w:val="25"/>
          <w:szCs w:val="25"/>
        </w:rPr>
        <w:t>a presente proposta</w:t>
      </w:r>
      <w:r w:rsidRPr="00C77509">
        <w:rPr>
          <w:rFonts w:ascii="Book Antiqua" w:hAnsi="Book Antiqua"/>
          <w:sz w:val="25"/>
          <w:szCs w:val="25"/>
        </w:rPr>
        <w:t xml:space="preserve"> de lei ordinária</w:t>
      </w:r>
      <w:r w:rsidR="00423C85" w:rsidRPr="00C77509">
        <w:rPr>
          <w:rFonts w:ascii="Book Antiqua" w:hAnsi="Book Antiqua"/>
          <w:sz w:val="25"/>
          <w:szCs w:val="25"/>
        </w:rPr>
        <w:t xml:space="preserve">, especialmente no seu artigo 9º, pretende revogar expressa </w:t>
      </w:r>
      <w:r w:rsidR="00423C85" w:rsidRPr="00C77509">
        <w:rPr>
          <w:rFonts w:ascii="Book Antiqua" w:hAnsi="Book Antiqua"/>
          <w:b/>
          <w:sz w:val="25"/>
          <w:szCs w:val="25"/>
        </w:rPr>
        <w:t>e integralmente</w:t>
      </w:r>
      <w:r w:rsidR="00423C85" w:rsidRPr="00C77509">
        <w:rPr>
          <w:rFonts w:ascii="Book Antiqua" w:hAnsi="Book Antiqua"/>
          <w:sz w:val="25"/>
          <w:szCs w:val="25"/>
        </w:rPr>
        <w:t xml:space="preserve"> a lei municipal em vigor que rege a questão, qual seja, a Lei </w:t>
      </w:r>
      <w:r w:rsidR="005769FD" w:rsidRPr="00C77509">
        <w:rPr>
          <w:rFonts w:ascii="Book Antiqua" w:hAnsi="Book Antiqua"/>
          <w:sz w:val="25"/>
          <w:szCs w:val="25"/>
        </w:rPr>
        <w:t xml:space="preserve">Municipal </w:t>
      </w:r>
      <w:r w:rsidR="00423C85" w:rsidRPr="00C77509">
        <w:rPr>
          <w:rFonts w:ascii="Book Antiqua" w:hAnsi="Book Antiqua"/>
          <w:sz w:val="25"/>
          <w:szCs w:val="25"/>
        </w:rPr>
        <w:t>nº 4.0</w:t>
      </w:r>
      <w:r w:rsidR="008C5B68" w:rsidRPr="00C77509">
        <w:rPr>
          <w:rFonts w:ascii="Book Antiqua" w:hAnsi="Book Antiqua"/>
          <w:sz w:val="25"/>
          <w:szCs w:val="25"/>
        </w:rPr>
        <w:t>16</w:t>
      </w:r>
      <w:r w:rsidR="00423C85" w:rsidRPr="00C77509">
        <w:rPr>
          <w:rFonts w:ascii="Book Antiqua" w:hAnsi="Book Antiqua"/>
          <w:sz w:val="25"/>
          <w:szCs w:val="25"/>
        </w:rPr>
        <w:t>, de 4 de abril de 2012.</w:t>
      </w:r>
    </w:p>
    <w:p w:rsidR="00423C85" w:rsidRPr="00C77509" w:rsidRDefault="00423C85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No entanto, praticamente reproduz “</w:t>
      </w:r>
      <w:r w:rsidRPr="00C77509">
        <w:rPr>
          <w:rFonts w:ascii="Book Antiqua" w:hAnsi="Book Antiqua"/>
          <w:i/>
          <w:sz w:val="25"/>
          <w:szCs w:val="25"/>
        </w:rPr>
        <w:t>ipsis litteris”</w:t>
      </w:r>
      <w:r w:rsidRPr="00C77509">
        <w:rPr>
          <w:rFonts w:ascii="Book Antiqua" w:hAnsi="Book Antiqua"/>
          <w:sz w:val="25"/>
          <w:szCs w:val="25"/>
        </w:rPr>
        <w:t xml:space="preserve"> a lei que pretende</w:t>
      </w:r>
      <w:r w:rsidR="0070188B" w:rsidRPr="00C77509">
        <w:rPr>
          <w:rFonts w:ascii="Book Antiqua" w:hAnsi="Book Antiqua"/>
          <w:sz w:val="25"/>
          <w:szCs w:val="25"/>
        </w:rPr>
        <w:t xml:space="preserve"> revogar, com poucas alterações e acréscimos.</w:t>
      </w:r>
    </w:p>
    <w:p w:rsidR="0070188B" w:rsidRPr="00C77509" w:rsidRDefault="00423C85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i/>
          <w:sz w:val="25"/>
          <w:szCs w:val="25"/>
        </w:rPr>
        <w:t>In casu</w:t>
      </w:r>
      <w:r w:rsidRPr="00C77509">
        <w:rPr>
          <w:rFonts w:ascii="Book Antiqua" w:hAnsi="Book Antiqua"/>
          <w:sz w:val="25"/>
          <w:szCs w:val="25"/>
        </w:rPr>
        <w:t>, do ponto de vista técnico</w:t>
      </w:r>
      <w:r w:rsidR="0037127B" w:rsidRPr="00C77509">
        <w:rPr>
          <w:rFonts w:ascii="Book Antiqua" w:hAnsi="Book Antiqua"/>
          <w:sz w:val="25"/>
          <w:szCs w:val="25"/>
        </w:rPr>
        <w:t xml:space="preserve"> e legal</w:t>
      </w:r>
      <w:r w:rsidRPr="00C77509">
        <w:rPr>
          <w:rFonts w:ascii="Book Antiqua" w:hAnsi="Book Antiqua"/>
          <w:sz w:val="25"/>
          <w:szCs w:val="25"/>
        </w:rPr>
        <w:t>,</w:t>
      </w:r>
      <w:r w:rsidR="0037127B" w:rsidRPr="00C77509">
        <w:rPr>
          <w:rFonts w:ascii="Book Antiqua" w:hAnsi="Book Antiqua"/>
          <w:sz w:val="25"/>
          <w:szCs w:val="25"/>
        </w:rPr>
        <w:t xml:space="preserve"> com se demonstrará,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142CCB" w:rsidRPr="00C77509">
        <w:rPr>
          <w:rFonts w:ascii="Book Antiqua" w:hAnsi="Book Antiqua"/>
          <w:b/>
          <w:sz w:val="25"/>
          <w:szCs w:val="25"/>
        </w:rPr>
        <w:t>a proposta deveria ter vindo</w:t>
      </w:r>
      <w:r w:rsidR="00C116BA" w:rsidRPr="00C77509">
        <w:rPr>
          <w:rFonts w:ascii="Book Antiqua" w:hAnsi="Book Antiqua"/>
          <w:b/>
          <w:sz w:val="25"/>
          <w:szCs w:val="25"/>
        </w:rPr>
        <w:t xml:space="preserve"> a esta Casa Legislativa com</w:t>
      </w:r>
      <w:r w:rsidRPr="00C77509">
        <w:rPr>
          <w:rFonts w:ascii="Book Antiqua" w:hAnsi="Book Antiqua"/>
          <w:b/>
          <w:sz w:val="25"/>
          <w:szCs w:val="25"/>
        </w:rPr>
        <w:t xml:space="preserve"> alterações pontuais ao texto legal vigente,</w:t>
      </w:r>
      <w:r w:rsidR="0070188B" w:rsidRPr="00C77509">
        <w:rPr>
          <w:rFonts w:ascii="Book Antiqua" w:hAnsi="Book Antiqua"/>
          <w:b/>
          <w:sz w:val="25"/>
          <w:szCs w:val="25"/>
        </w:rPr>
        <w:t xml:space="preserve"> </w:t>
      </w:r>
      <w:r w:rsidRPr="00C77509">
        <w:rPr>
          <w:rFonts w:ascii="Book Antiqua" w:hAnsi="Book Antiqua"/>
          <w:b/>
          <w:sz w:val="25"/>
          <w:szCs w:val="25"/>
        </w:rPr>
        <w:t>dando-se nova redação dos dispositivos específicos</w:t>
      </w:r>
      <w:r w:rsidR="0070188B" w:rsidRPr="00C77509">
        <w:rPr>
          <w:rFonts w:ascii="Book Antiqua" w:hAnsi="Book Antiqua"/>
          <w:b/>
          <w:sz w:val="25"/>
          <w:szCs w:val="25"/>
        </w:rPr>
        <w:t xml:space="preserve"> que lhe acresce</w:t>
      </w:r>
      <w:r w:rsidR="002D47C7" w:rsidRPr="00C77509">
        <w:rPr>
          <w:rFonts w:ascii="Book Antiqua" w:hAnsi="Book Antiqua"/>
          <w:b/>
          <w:sz w:val="25"/>
          <w:szCs w:val="25"/>
        </w:rPr>
        <w:t>, modifique ou suprime</w:t>
      </w:r>
      <w:r w:rsidR="002D47C7" w:rsidRPr="00C77509">
        <w:rPr>
          <w:rFonts w:ascii="Book Antiqua" w:hAnsi="Book Antiqua"/>
          <w:sz w:val="25"/>
          <w:szCs w:val="25"/>
        </w:rPr>
        <w:t>,</w:t>
      </w:r>
      <w:r w:rsidRPr="00C77509">
        <w:rPr>
          <w:rFonts w:ascii="Book Antiqua" w:hAnsi="Book Antiqua"/>
          <w:sz w:val="25"/>
          <w:szCs w:val="25"/>
        </w:rPr>
        <w:t xml:space="preserve"> como </w:t>
      </w:r>
      <w:r w:rsidR="0070188B" w:rsidRPr="00C77509">
        <w:rPr>
          <w:rFonts w:ascii="Book Antiqua" w:hAnsi="Book Antiqua"/>
          <w:sz w:val="25"/>
          <w:szCs w:val="25"/>
        </w:rPr>
        <w:t>consta no projeto de lei em análise</w:t>
      </w:r>
      <w:r w:rsidRPr="00C77509">
        <w:rPr>
          <w:rFonts w:ascii="Book Antiqua" w:hAnsi="Book Antiqua"/>
          <w:sz w:val="25"/>
          <w:szCs w:val="25"/>
        </w:rPr>
        <w:t>, mantendo-se</w:t>
      </w:r>
      <w:r w:rsidR="0037127B" w:rsidRPr="00C77509">
        <w:rPr>
          <w:rFonts w:ascii="Book Antiqua" w:hAnsi="Book Antiqua"/>
          <w:sz w:val="25"/>
          <w:szCs w:val="25"/>
        </w:rPr>
        <w:t>, por consequênca,</w:t>
      </w:r>
      <w:r w:rsidRPr="00C77509">
        <w:rPr>
          <w:rFonts w:ascii="Book Antiqua" w:hAnsi="Book Antiqua"/>
          <w:sz w:val="25"/>
          <w:szCs w:val="25"/>
        </w:rPr>
        <w:t xml:space="preserve"> a parte inalterada</w:t>
      </w:r>
      <w:r w:rsidR="002D47C7" w:rsidRPr="00C77509">
        <w:rPr>
          <w:rFonts w:ascii="Book Antiqua" w:hAnsi="Book Antiqua"/>
          <w:sz w:val="25"/>
          <w:szCs w:val="25"/>
        </w:rPr>
        <w:t xml:space="preserve"> da Lei</w:t>
      </w:r>
      <w:r w:rsidR="005769FD" w:rsidRPr="00C77509">
        <w:rPr>
          <w:rFonts w:ascii="Book Antiqua" w:hAnsi="Book Antiqua"/>
          <w:sz w:val="25"/>
          <w:szCs w:val="25"/>
        </w:rPr>
        <w:t xml:space="preserve"> Municipal</w:t>
      </w:r>
      <w:r w:rsidR="002D47C7" w:rsidRPr="00C77509">
        <w:rPr>
          <w:rFonts w:ascii="Book Antiqua" w:hAnsi="Book Antiqua"/>
          <w:sz w:val="25"/>
          <w:szCs w:val="25"/>
        </w:rPr>
        <w:t xml:space="preserve"> nº 4.016, de 4 de abril de 2012.</w:t>
      </w:r>
    </w:p>
    <w:p w:rsidR="004E706A" w:rsidRPr="00C77509" w:rsidRDefault="004E706A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Com efeito, o artigo 12, inciso I, da Lei Complementar nº 95, de 26 de fevereiro de 1998, que “Dispõe sobre a elaboração, a redação, a alteração e a consolidação das leis, conforme determina o parágrafo único do art. 59 da Constituição Federal, e estabelece normas para a consolidação dos atos normativos que menciona”</w:t>
      </w:r>
      <w:r w:rsidR="00826A4E" w:rsidRPr="00C77509">
        <w:rPr>
          <w:rFonts w:ascii="Book Antiqua" w:hAnsi="Book Antiqua"/>
          <w:sz w:val="25"/>
          <w:szCs w:val="25"/>
        </w:rPr>
        <w:t>, tem a seguinte redação:</w:t>
      </w:r>
    </w:p>
    <w:p w:rsidR="00826A4E" w:rsidRPr="00C77509" w:rsidRDefault="00826A4E" w:rsidP="008A57A9">
      <w:pPr>
        <w:pStyle w:val="NormalWeb"/>
        <w:ind w:left="2268" w:firstLine="567"/>
        <w:rPr>
          <w:rFonts w:ascii="Book Antiqua" w:eastAsiaTheme="minorHAnsi" w:hAnsi="Book Antiqua" w:cstheme="minorBidi"/>
          <w:sz w:val="25"/>
          <w:szCs w:val="25"/>
          <w:lang w:eastAsia="en-US"/>
        </w:rPr>
      </w:pPr>
      <w:r w:rsidRPr="00C77509">
        <w:rPr>
          <w:rFonts w:ascii="Book Antiqua" w:eastAsiaTheme="minorHAnsi" w:hAnsi="Book Antiqua" w:cstheme="minorBidi"/>
          <w:sz w:val="25"/>
          <w:szCs w:val="25"/>
          <w:lang w:eastAsia="en-US"/>
        </w:rPr>
        <w:t xml:space="preserve">“Art. 12. </w:t>
      </w:r>
      <w:r w:rsidRPr="00C77509">
        <w:rPr>
          <w:rFonts w:ascii="Book Antiqua" w:eastAsiaTheme="minorHAnsi" w:hAnsi="Book Antiqua" w:cstheme="minorBidi"/>
          <w:b/>
          <w:sz w:val="25"/>
          <w:szCs w:val="25"/>
          <w:u w:val="single"/>
          <w:lang w:eastAsia="en-US"/>
        </w:rPr>
        <w:t>A alteração da lei será feita</w:t>
      </w:r>
      <w:r w:rsidRPr="00C77509">
        <w:rPr>
          <w:rFonts w:ascii="Book Antiqua" w:eastAsiaTheme="minorHAnsi" w:hAnsi="Book Antiqua" w:cstheme="minorBidi"/>
          <w:sz w:val="25"/>
          <w:szCs w:val="25"/>
          <w:lang w:eastAsia="en-US"/>
        </w:rPr>
        <w:t>:</w:t>
      </w:r>
    </w:p>
    <w:p w:rsidR="00826A4E" w:rsidRPr="00C77509" w:rsidRDefault="00826A4E" w:rsidP="008A57A9">
      <w:pPr>
        <w:pStyle w:val="NormalWeb"/>
        <w:ind w:left="2268" w:firstLine="567"/>
        <w:jc w:val="both"/>
        <w:rPr>
          <w:rFonts w:ascii="Book Antiqua" w:eastAsiaTheme="minorHAnsi" w:hAnsi="Book Antiqua" w:cstheme="minorBidi"/>
          <w:sz w:val="25"/>
          <w:szCs w:val="25"/>
          <w:lang w:eastAsia="en-US"/>
        </w:rPr>
      </w:pPr>
      <w:r w:rsidRPr="00C77509">
        <w:rPr>
          <w:rFonts w:ascii="Book Antiqua" w:eastAsiaTheme="minorHAnsi" w:hAnsi="Book Antiqua" w:cstheme="minorBidi"/>
          <w:sz w:val="25"/>
          <w:szCs w:val="25"/>
          <w:lang w:eastAsia="en-US"/>
        </w:rPr>
        <w:t xml:space="preserve">I - mediante reprodução integral em novo texto, </w:t>
      </w:r>
      <w:r w:rsidRPr="00C77509">
        <w:rPr>
          <w:rFonts w:ascii="Book Antiqua" w:eastAsiaTheme="minorHAnsi" w:hAnsi="Book Antiqua" w:cstheme="minorBidi"/>
          <w:b/>
          <w:sz w:val="25"/>
          <w:szCs w:val="25"/>
          <w:u w:val="single"/>
          <w:lang w:eastAsia="en-US"/>
        </w:rPr>
        <w:t>quando se tratar de alteração considerável</w:t>
      </w:r>
      <w:r w:rsidRPr="00C77509">
        <w:rPr>
          <w:rFonts w:ascii="Book Antiqua" w:eastAsiaTheme="minorHAnsi" w:hAnsi="Book Antiqua" w:cstheme="minorBidi"/>
          <w:sz w:val="25"/>
          <w:szCs w:val="25"/>
          <w:lang w:eastAsia="en-US"/>
        </w:rPr>
        <w:t>;” – grifei e negritei</w:t>
      </w:r>
    </w:p>
    <w:p w:rsidR="002004DF" w:rsidRPr="00C77509" w:rsidRDefault="00826A4E" w:rsidP="002004DF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i/>
          <w:sz w:val="25"/>
          <w:szCs w:val="25"/>
        </w:rPr>
        <w:t>In casu,</w:t>
      </w:r>
      <w:r w:rsidRPr="00C77509">
        <w:rPr>
          <w:rFonts w:ascii="Book Antiqua" w:hAnsi="Book Antiqua"/>
          <w:sz w:val="25"/>
          <w:szCs w:val="25"/>
        </w:rPr>
        <w:t xml:space="preserve"> o projeto de lei ordinária em análise propõe pequenas alterações pontuais à Lei Municipal nº 4.016/2012, não se tratando, como de fato não se trata,</w:t>
      </w:r>
      <w:r w:rsidR="005769FD" w:rsidRPr="00C77509">
        <w:rPr>
          <w:rFonts w:ascii="Book Antiqua" w:hAnsi="Book Antiqua"/>
          <w:sz w:val="25"/>
          <w:szCs w:val="25"/>
        </w:rPr>
        <w:t xml:space="preserve"> inexoravelmente,</w:t>
      </w:r>
      <w:r w:rsidRPr="00C77509">
        <w:rPr>
          <w:rFonts w:ascii="Book Antiqua" w:hAnsi="Book Antiqua"/>
          <w:sz w:val="25"/>
          <w:szCs w:val="25"/>
        </w:rPr>
        <w:t xml:space="preserve"> de alteração considerável</w:t>
      </w:r>
      <w:r w:rsidR="00F037CD" w:rsidRPr="00C77509">
        <w:rPr>
          <w:rFonts w:ascii="Book Antiqua" w:hAnsi="Book Antiqua"/>
          <w:sz w:val="25"/>
          <w:szCs w:val="25"/>
        </w:rPr>
        <w:t xml:space="preserve"> que ensejasse a reprodução integral em novo texto</w:t>
      </w:r>
      <w:r w:rsidRPr="00C77509">
        <w:rPr>
          <w:rFonts w:ascii="Book Antiqua" w:hAnsi="Book Antiqua"/>
          <w:sz w:val="25"/>
          <w:szCs w:val="25"/>
        </w:rPr>
        <w:t xml:space="preserve">, como </w:t>
      </w:r>
      <w:r w:rsidR="002D47C7" w:rsidRPr="00C77509">
        <w:rPr>
          <w:rFonts w:ascii="Book Antiqua" w:hAnsi="Book Antiqua"/>
          <w:sz w:val="25"/>
          <w:szCs w:val="25"/>
        </w:rPr>
        <w:t>consta expressamente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2D47C7" w:rsidRPr="00C77509">
        <w:rPr>
          <w:rFonts w:ascii="Book Antiqua" w:hAnsi="Book Antiqua"/>
          <w:sz w:val="25"/>
          <w:szCs w:val="25"/>
        </w:rPr>
        <w:t>n</w:t>
      </w:r>
      <w:r w:rsidRPr="00C77509">
        <w:rPr>
          <w:rFonts w:ascii="Book Antiqua" w:hAnsi="Book Antiqua"/>
          <w:sz w:val="25"/>
          <w:szCs w:val="25"/>
        </w:rPr>
        <w:t xml:space="preserve">a Lei </w:t>
      </w:r>
      <w:r w:rsidRPr="00C77509">
        <w:rPr>
          <w:rFonts w:ascii="Book Antiqua" w:hAnsi="Book Antiqua"/>
          <w:sz w:val="25"/>
          <w:szCs w:val="25"/>
        </w:rPr>
        <w:lastRenderedPageBreak/>
        <w:t xml:space="preserve">Complementar nº 95/2012, que </w:t>
      </w:r>
      <w:r w:rsidR="002D47C7" w:rsidRPr="00C77509">
        <w:rPr>
          <w:rFonts w:ascii="Book Antiqua" w:hAnsi="Book Antiqua"/>
          <w:sz w:val="25"/>
          <w:szCs w:val="25"/>
        </w:rPr>
        <w:t>autorize do ponto de vista técnico</w:t>
      </w:r>
      <w:r w:rsidRPr="00C77509">
        <w:rPr>
          <w:rFonts w:ascii="Book Antiqua" w:hAnsi="Book Antiqua"/>
          <w:sz w:val="25"/>
          <w:szCs w:val="25"/>
        </w:rPr>
        <w:t xml:space="preserve"> a</w:t>
      </w:r>
      <w:r w:rsidR="002004DF" w:rsidRPr="00C77509">
        <w:rPr>
          <w:rFonts w:ascii="Book Antiqua" w:hAnsi="Book Antiqua"/>
          <w:sz w:val="25"/>
          <w:szCs w:val="25"/>
        </w:rPr>
        <w:t xml:space="preserve"> revogação integral daquela lei.</w:t>
      </w:r>
    </w:p>
    <w:p w:rsidR="00826A4E" w:rsidRDefault="00826A4E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Desta forma, entendemos que o projeto padece de vício de forma, anomalia que pode ser</w:t>
      </w:r>
      <w:r w:rsidR="005769FD" w:rsidRPr="00C77509">
        <w:rPr>
          <w:rFonts w:ascii="Book Antiqua" w:hAnsi="Book Antiqua"/>
          <w:sz w:val="25"/>
          <w:szCs w:val="25"/>
        </w:rPr>
        <w:t xml:space="preserve"> corrigida ou sanada via apresentação de S</w:t>
      </w:r>
      <w:r w:rsidRPr="00C77509">
        <w:rPr>
          <w:rFonts w:ascii="Book Antiqua" w:hAnsi="Book Antiqua"/>
          <w:sz w:val="25"/>
          <w:szCs w:val="25"/>
        </w:rPr>
        <w:t>ubstitutivo</w:t>
      </w:r>
      <w:r w:rsidR="002D47C7" w:rsidRPr="00C77509">
        <w:rPr>
          <w:rFonts w:ascii="Book Antiqua" w:hAnsi="Book Antiqua"/>
          <w:sz w:val="25"/>
          <w:szCs w:val="25"/>
        </w:rPr>
        <w:t>, n</w:t>
      </w:r>
      <w:r w:rsidR="005769FD" w:rsidRPr="00C77509">
        <w:rPr>
          <w:rFonts w:ascii="Book Antiqua" w:hAnsi="Book Antiqua"/>
          <w:sz w:val="25"/>
          <w:szCs w:val="25"/>
        </w:rPr>
        <w:t>o âmbito desta Casa Legislativa e na forma regimental,</w:t>
      </w:r>
      <w:r w:rsidR="002004DF" w:rsidRPr="00C77509">
        <w:rPr>
          <w:rFonts w:ascii="Book Antiqua" w:hAnsi="Book Antiqua"/>
          <w:sz w:val="25"/>
          <w:szCs w:val="25"/>
        </w:rPr>
        <w:t xml:space="preserve"> se assim entender os seus</w:t>
      </w:r>
      <w:r w:rsidR="005769FD" w:rsidRPr="00C77509">
        <w:rPr>
          <w:rFonts w:ascii="Book Antiqua" w:hAnsi="Book Antiqua"/>
          <w:sz w:val="25"/>
          <w:szCs w:val="25"/>
        </w:rPr>
        <w:t xml:space="preserve"> ilustrados</w:t>
      </w:r>
      <w:r w:rsidR="002004DF" w:rsidRPr="00C77509">
        <w:rPr>
          <w:rFonts w:ascii="Book Antiqua" w:hAnsi="Book Antiqua"/>
          <w:sz w:val="25"/>
          <w:szCs w:val="25"/>
        </w:rPr>
        <w:t xml:space="preserve"> membros,</w:t>
      </w:r>
      <w:r w:rsidRPr="00C77509">
        <w:rPr>
          <w:rFonts w:ascii="Book Antiqua" w:hAnsi="Book Antiqua"/>
          <w:sz w:val="25"/>
          <w:szCs w:val="25"/>
        </w:rPr>
        <w:t xml:space="preserve"> que venha contemplar apenas</w:t>
      </w:r>
      <w:r w:rsidR="002004DF" w:rsidRPr="00C77509">
        <w:rPr>
          <w:rFonts w:ascii="Book Antiqua" w:hAnsi="Book Antiqua"/>
          <w:sz w:val="25"/>
          <w:szCs w:val="25"/>
        </w:rPr>
        <w:t xml:space="preserve"> e tão somente</w:t>
      </w:r>
      <w:r w:rsidRPr="00C77509">
        <w:rPr>
          <w:rFonts w:ascii="Book Antiqua" w:hAnsi="Book Antiqua"/>
          <w:sz w:val="25"/>
          <w:szCs w:val="25"/>
        </w:rPr>
        <w:t xml:space="preserve"> as alterações propostas neste projeto de lei, sob os rigores da boa </w:t>
      </w:r>
      <w:r w:rsidR="002D47C7" w:rsidRPr="00C77509">
        <w:rPr>
          <w:rFonts w:ascii="Book Antiqua" w:hAnsi="Book Antiqua"/>
          <w:sz w:val="25"/>
          <w:szCs w:val="25"/>
        </w:rPr>
        <w:t>técnica legislativa, mantendo-se, todavia, inalterados,</w:t>
      </w:r>
      <w:r w:rsidR="002004DF" w:rsidRPr="00C77509">
        <w:rPr>
          <w:rFonts w:ascii="Book Antiqua" w:hAnsi="Book Antiqua"/>
          <w:sz w:val="25"/>
          <w:szCs w:val="25"/>
        </w:rPr>
        <w:t xml:space="preserve"> por via de raciocínio lógico,</w:t>
      </w:r>
      <w:r w:rsidR="002D47C7" w:rsidRPr="00C77509">
        <w:rPr>
          <w:rFonts w:ascii="Book Antiqua" w:hAnsi="Book Antiqua"/>
          <w:sz w:val="25"/>
          <w:szCs w:val="25"/>
        </w:rPr>
        <w:t xml:space="preserve"> os demais dispositivos da Lei Municipal nº 4.016/2012.</w:t>
      </w:r>
      <w:r w:rsidRPr="00C77509">
        <w:rPr>
          <w:rFonts w:ascii="Book Antiqua" w:hAnsi="Book Antiqua"/>
          <w:sz w:val="25"/>
          <w:szCs w:val="25"/>
        </w:rPr>
        <w:t xml:space="preserve"> </w:t>
      </w:r>
    </w:p>
    <w:p w:rsidR="008A57A9" w:rsidRDefault="008A57A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Assim se procedendo, não há dúvida de que estará sendo observado o mandamento do artigo 12, inciso II, da citada Lei Complementar nº 95/98, que tem a seguinte redação:</w:t>
      </w:r>
    </w:p>
    <w:p w:rsidR="008A57A9" w:rsidRPr="008A57A9" w:rsidRDefault="008A57A9" w:rsidP="008A57A9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“</w:t>
      </w:r>
      <w:r w:rsidRPr="008A57A9">
        <w:rPr>
          <w:rFonts w:ascii="Book Antiqua" w:hAnsi="Book Antiqua"/>
          <w:sz w:val="25"/>
          <w:szCs w:val="25"/>
        </w:rPr>
        <w:t>Art. 12. A alteração da lei será feita:</w:t>
      </w:r>
    </w:p>
    <w:p w:rsidR="008A57A9" w:rsidRPr="008A57A9" w:rsidRDefault="008A57A9" w:rsidP="008A57A9">
      <w:pPr>
        <w:spacing w:before="240" w:after="240" w:line="240" w:lineRule="auto"/>
        <w:ind w:left="2552" w:firstLine="283"/>
        <w:jc w:val="both"/>
        <w:rPr>
          <w:rFonts w:ascii="Book Antiqua" w:hAnsi="Book Antiqua"/>
          <w:sz w:val="25"/>
          <w:szCs w:val="25"/>
        </w:rPr>
      </w:pPr>
      <w:r w:rsidRPr="008A57A9">
        <w:rPr>
          <w:rFonts w:ascii="Book Antiqua" w:hAnsi="Book Antiqua"/>
          <w:sz w:val="25"/>
          <w:szCs w:val="25"/>
        </w:rPr>
        <w:t xml:space="preserve">I – </w:t>
      </w:r>
      <w:r>
        <w:rPr>
          <w:rFonts w:ascii="Book Antiqua" w:hAnsi="Book Antiqua"/>
          <w:sz w:val="25"/>
          <w:szCs w:val="25"/>
        </w:rPr>
        <w:t>...................</w:t>
      </w:r>
      <w:r w:rsidR="00705323">
        <w:rPr>
          <w:rFonts w:ascii="Book Antiqua" w:hAnsi="Book Antiqua"/>
          <w:sz w:val="25"/>
          <w:szCs w:val="25"/>
        </w:rPr>
        <w:t>.......</w:t>
      </w:r>
      <w:r>
        <w:rPr>
          <w:rFonts w:ascii="Book Antiqua" w:hAnsi="Book Antiqua"/>
          <w:sz w:val="25"/>
          <w:szCs w:val="25"/>
        </w:rPr>
        <w:t>...........</w:t>
      </w:r>
      <w:r w:rsidRPr="008A57A9">
        <w:rPr>
          <w:rFonts w:ascii="Book Antiqua" w:hAnsi="Book Antiqua"/>
          <w:i/>
          <w:sz w:val="25"/>
          <w:szCs w:val="25"/>
        </w:rPr>
        <w:t>omisis</w:t>
      </w:r>
      <w:r>
        <w:rPr>
          <w:rFonts w:ascii="Book Antiqua" w:hAnsi="Book Antiqua"/>
          <w:sz w:val="25"/>
          <w:szCs w:val="25"/>
        </w:rPr>
        <w:t>....................................</w:t>
      </w:r>
    </w:p>
    <w:p w:rsidR="008A57A9" w:rsidRPr="008A57A9" w:rsidRDefault="008A57A9" w:rsidP="008A57A9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8A57A9">
        <w:rPr>
          <w:rFonts w:ascii="Book Antiqua" w:hAnsi="Book Antiqua"/>
          <w:sz w:val="25"/>
          <w:szCs w:val="25"/>
        </w:rPr>
        <w:t xml:space="preserve">II - nos demais casos, </w:t>
      </w:r>
      <w:r w:rsidRPr="008A57A9">
        <w:rPr>
          <w:rFonts w:ascii="Book Antiqua" w:hAnsi="Book Antiqua"/>
          <w:b/>
          <w:sz w:val="25"/>
          <w:szCs w:val="25"/>
        </w:rPr>
        <w:t xml:space="preserve">por meio de substituição, </w:t>
      </w:r>
      <w:r w:rsidRPr="008A57A9">
        <w:rPr>
          <w:rFonts w:ascii="Book Antiqua" w:hAnsi="Book Antiqua"/>
          <w:b/>
          <w:sz w:val="25"/>
          <w:szCs w:val="25"/>
          <w:u w:val="single"/>
        </w:rPr>
        <w:t>no próprio texto</w:t>
      </w:r>
      <w:r w:rsidRPr="008A57A9">
        <w:rPr>
          <w:rFonts w:ascii="Book Antiqua" w:hAnsi="Book Antiqua"/>
          <w:b/>
          <w:sz w:val="25"/>
          <w:szCs w:val="25"/>
        </w:rPr>
        <w:t>, do dispositivo alterado, ou acréscimo de dispositivo novo</w:t>
      </w:r>
      <w:r w:rsidRPr="008A57A9">
        <w:rPr>
          <w:rFonts w:ascii="Book Antiqua" w:hAnsi="Book Antiqua"/>
          <w:sz w:val="25"/>
          <w:szCs w:val="25"/>
        </w:rPr>
        <w:t>, observadas as seguintes regras:</w:t>
      </w:r>
      <w:r>
        <w:rPr>
          <w:rFonts w:ascii="Book Antiqua" w:hAnsi="Book Antiqua"/>
          <w:sz w:val="25"/>
          <w:szCs w:val="25"/>
        </w:rPr>
        <w:t>”</w:t>
      </w:r>
    </w:p>
    <w:p w:rsidR="00423C85" w:rsidRPr="00C77509" w:rsidRDefault="002D47C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Assim,</w:t>
      </w:r>
      <w:r w:rsidR="005769FD" w:rsidRPr="00C77509">
        <w:rPr>
          <w:rFonts w:ascii="Book Antiqua" w:hAnsi="Book Antiqua"/>
          <w:sz w:val="25"/>
          <w:szCs w:val="25"/>
        </w:rPr>
        <w:t xml:space="preserve"> </w:t>
      </w:r>
      <w:r w:rsidRPr="00C77509">
        <w:rPr>
          <w:rFonts w:ascii="Book Antiqua" w:hAnsi="Book Antiqua"/>
          <w:sz w:val="25"/>
          <w:szCs w:val="25"/>
        </w:rPr>
        <w:t xml:space="preserve">recomendamos seja apresentado projeto </w:t>
      </w:r>
      <w:r w:rsidR="005769FD" w:rsidRPr="00C77509">
        <w:rPr>
          <w:rFonts w:ascii="Book Antiqua" w:hAnsi="Book Antiqua"/>
          <w:sz w:val="25"/>
          <w:szCs w:val="25"/>
        </w:rPr>
        <w:t>S</w:t>
      </w:r>
      <w:r w:rsidRPr="00C77509">
        <w:rPr>
          <w:rFonts w:ascii="Book Antiqua" w:hAnsi="Book Antiqua"/>
          <w:sz w:val="25"/>
          <w:szCs w:val="25"/>
        </w:rPr>
        <w:t>ubstitutivo ao Projeto de Lei em análise, para nele constar apenas as alterações pontuais em relação ao texto vigente representado pela Lei</w:t>
      </w:r>
      <w:r w:rsidR="00A42B6B">
        <w:rPr>
          <w:rFonts w:ascii="Book Antiqua" w:hAnsi="Book Antiqua"/>
          <w:sz w:val="25"/>
          <w:szCs w:val="25"/>
        </w:rPr>
        <w:t xml:space="preserve"> Municipal n</w:t>
      </w:r>
      <w:r w:rsidR="00481B7B">
        <w:rPr>
          <w:rFonts w:ascii="Book Antiqua" w:hAnsi="Book Antiqua"/>
          <w:sz w:val="25"/>
          <w:szCs w:val="25"/>
        </w:rPr>
        <w:t>º</w:t>
      </w:r>
      <w:r w:rsidRPr="00C77509">
        <w:rPr>
          <w:rFonts w:ascii="Book Antiqua" w:hAnsi="Book Antiqua"/>
          <w:sz w:val="25"/>
          <w:szCs w:val="25"/>
        </w:rPr>
        <w:t xml:space="preserve"> 4.016/2012, ou sucessivamente, caso entenda de modo diverso esta Casa Legislativa, proceder à devolução do Projeto ao autor, Chefe do Poder Executivo, para que proceda as adequações ao texto, harmonizando-o com o que determina o artigo 12, inciso I, da Lei Complementar nº 95/98</w:t>
      </w:r>
      <w:r w:rsidR="005769FD" w:rsidRPr="00C77509">
        <w:rPr>
          <w:rFonts w:ascii="Book Antiqua" w:hAnsi="Book Antiqua"/>
          <w:sz w:val="25"/>
          <w:szCs w:val="25"/>
        </w:rPr>
        <w:t>, de observância obrigatória</w:t>
      </w:r>
      <w:r w:rsidR="00481B7B">
        <w:rPr>
          <w:rFonts w:ascii="Book Antiqua" w:hAnsi="Book Antiqua"/>
          <w:sz w:val="25"/>
          <w:szCs w:val="25"/>
        </w:rPr>
        <w:t>, podendo, inclusive, incorporar ao novo projeto as emendas que aqui estão sendo sugeridas.</w:t>
      </w:r>
    </w:p>
    <w:p w:rsidR="002004DF" w:rsidRPr="00C77509" w:rsidRDefault="002004DF" w:rsidP="002004DF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2.3 – DA CONSTITUCIONALIDADE DA ENTREGA DOS CARNÊS DO IPTU PELOS SERVIDORES MUNICIPAIS – SERVIÇO QUE NÃO SE INSERE DENTRE AQUELES GUARDADOS PELO MONOPÓLIO DA EMPRESA DE CORREIOS E TELÉGRAMOS – INTERPRETAÇÃO DA CONSTITUIÇÃO E DA LEGISLAÇÃO FEDERAL APLICÁVEL - PRECEDENTES DOS TRIBUNAIS FEDERAIS.</w:t>
      </w:r>
    </w:p>
    <w:p w:rsidR="00A20F35" w:rsidRPr="00C77509" w:rsidRDefault="00C116BA" w:rsidP="00C116BA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lastRenderedPageBreak/>
        <w:t xml:space="preserve">Ultrapassada </w:t>
      </w:r>
      <w:r w:rsidR="002004DF" w:rsidRPr="00C77509">
        <w:rPr>
          <w:rFonts w:ascii="Book Antiqua" w:hAnsi="Book Antiqua"/>
          <w:sz w:val="25"/>
          <w:szCs w:val="25"/>
        </w:rPr>
        <w:t>a</w:t>
      </w:r>
      <w:r w:rsidRPr="00C77509">
        <w:rPr>
          <w:rFonts w:ascii="Book Antiqua" w:hAnsi="Book Antiqua"/>
          <w:sz w:val="25"/>
          <w:szCs w:val="25"/>
        </w:rPr>
        <w:t xml:space="preserve"> questão técnica relevante</w:t>
      </w:r>
      <w:r w:rsidR="002004DF" w:rsidRPr="00C77509">
        <w:rPr>
          <w:rFonts w:ascii="Book Antiqua" w:hAnsi="Book Antiqua"/>
          <w:sz w:val="25"/>
          <w:szCs w:val="25"/>
        </w:rPr>
        <w:t xml:space="preserve"> do item anterior</w:t>
      </w:r>
      <w:r w:rsidRPr="00C77509">
        <w:rPr>
          <w:rFonts w:ascii="Book Antiqua" w:hAnsi="Book Antiqua"/>
          <w:sz w:val="25"/>
          <w:szCs w:val="25"/>
        </w:rPr>
        <w:t xml:space="preserve">, é bem de ver que a entrega de carnês por servidores municipais não se insere dentre as atividades guardadas pelo monopólio </w:t>
      </w:r>
      <w:r w:rsidR="00F8768E" w:rsidRPr="00C77509">
        <w:rPr>
          <w:rFonts w:ascii="Book Antiqua" w:hAnsi="Book Antiqua"/>
          <w:sz w:val="25"/>
          <w:szCs w:val="25"/>
        </w:rPr>
        <w:t>estatal da Empresa Brasileira de Correios e Telégrafos</w:t>
      </w:r>
      <w:r w:rsidR="00F70DF2" w:rsidRPr="00C77509">
        <w:rPr>
          <w:rFonts w:ascii="Book Antiqua" w:hAnsi="Book Antiqua"/>
          <w:sz w:val="25"/>
          <w:szCs w:val="25"/>
        </w:rPr>
        <w:t xml:space="preserve"> - EBCT</w:t>
      </w:r>
      <w:r w:rsidR="00F8768E" w:rsidRPr="00C77509">
        <w:rPr>
          <w:rFonts w:ascii="Book Antiqua" w:hAnsi="Book Antiqua"/>
          <w:sz w:val="25"/>
          <w:szCs w:val="25"/>
        </w:rPr>
        <w:t>,</w:t>
      </w:r>
      <w:r w:rsidR="00EE3EEF" w:rsidRPr="00C77509">
        <w:rPr>
          <w:rFonts w:ascii="Book Antiqua" w:hAnsi="Book Antiqua"/>
          <w:sz w:val="25"/>
          <w:szCs w:val="25"/>
        </w:rPr>
        <w:t xml:space="preserve"> </w:t>
      </w:r>
      <w:r w:rsidR="00A20F35" w:rsidRPr="00C77509">
        <w:rPr>
          <w:rFonts w:ascii="Book Antiqua" w:hAnsi="Book Antiqua"/>
          <w:sz w:val="25"/>
          <w:szCs w:val="25"/>
        </w:rPr>
        <w:t xml:space="preserve">qualificando-se, em razão de sua específica destinação institucional, como entidade delegatária dos serviços públicos a que se refere o art. 21, inciso X, da </w:t>
      </w:r>
      <w:r w:rsidR="0070188B" w:rsidRPr="00C77509">
        <w:rPr>
          <w:rFonts w:ascii="Book Antiqua" w:hAnsi="Book Antiqua"/>
          <w:sz w:val="25"/>
          <w:szCs w:val="25"/>
        </w:rPr>
        <w:t>Constituição da República</w:t>
      </w:r>
      <w:r w:rsidR="00A20F35" w:rsidRPr="00C77509">
        <w:rPr>
          <w:rFonts w:ascii="Book Antiqua" w:hAnsi="Book Antiqua"/>
          <w:sz w:val="25"/>
          <w:szCs w:val="25"/>
        </w:rPr>
        <w:t xml:space="preserve"> e </w:t>
      </w:r>
      <w:r w:rsidR="00A56784" w:rsidRPr="00C77509">
        <w:rPr>
          <w:rFonts w:ascii="Book Antiqua" w:hAnsi="Book Antiqua"/>
          <w:sz w:val="25"/>
          <w:szCs w:val="25"/>
        </w:rPr>
        <w:t>Lei Federal nº 6.538/78.</w:t>
      </w:r>
    </w:p>
    <w:p w:rsidR="00A56784" w:rsidRPr="00C77509" w:rsidRDefault="00A56784" w:rsidP="00265541">
      <w:pPr>
        <w:spacing w:before="240" w:after="240" w:line="240" w:lineRule="auto"/>
        <w:ind w:firstLine="1701"/>
        <w:jc w:val="both"/>
        <w:textAlignment w:val="top"/>
        <w:rPr>
          <w:rFonts w:ascii="Book Antiqua" w:hAnsi="Book Antiqua"/>
          <w:i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Neste sentido, vem decidindo os Tribunais Federais pátrios,</w:t>
      </w:r>
      <w:r w:rsidR="007A7F1A" w:rsidRPr="00C77509">
        <w:rPr>
          <w:rFonts w:ascii="Book Antiqua" w:hAnsi="Book Antiqua"/>
          <w:sz w:val="25"/>
          <w:szCs w:val="25"/>
        </w:rPr>
        <w:t xml:space="preserve"> em especial, o Tribunal</w:t>
      </w:r>
      <w:r w:rsidR="005637F7" w:rsidRPr="00C77509">
        <w:rPr>
          <w:rFonts w:ascii="Book Antiqua" w:hAnsi="Book Antiqua"/>
          <w:sz w:val="25"/>
          <w:szCs w:val="25"/>
        </w:rPr>
        <w:t xml:space="preserve"> Regional</w:t>
      </w:r>
      <w:r w:rsidR="007A7F1A" w:rsidRPr="00C77509">
        <w:rPr>
          <w:rFonts w:ascii="Book Antiqua" w:hAnsi="Book Antiqua"/>
          <w:sz w:val="25"/>
          <w:szCs w:val="25"/>
        </w:rPr>
        <w:t xml:space="preserve"> Federal da 1ª Região</w:t>
      </w:r>
      <w:r w:rsidR="005637F7" w:rsidRPr="00C77509">
        <w:rPr>
          <w:rFonts w:ascii="Book Antiqua" w:hAnsi="Book Antiqua"/>
          <w:sz w:val="25"/>
          <w:szCs w:val="25"/>
        </w:rPr>
        <w:t xml:space="preserve"> – que julga os recursos oriundos das varas da justiça federal de Minas Gerais -</w:t>
      </w:r>
      <w:r w:rsidR="007A7F1A" w:rsidRPr="00C77509">
        <w:rPr>
          <w:rFonts w:ascii="Book Antiqua" w:hAnsi="Book Antiqua"/>
          <w:sz w:val="25"/>
          <w:szCs w:val="25"/>
        </w:rPr>
        <w:t>,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5637F7" w:rsidRPr="00C77509">
        <w:rPr>
          <w:rFonts w:ascii="Book Antiqua" w:hAnsi="Book Antiqua"/>
          <w:sz w:val="25"/>
          <w:szCs w:val="25"/>
        </w:rPr>
        <w:t>os quais</w:t>
      </w:r>
      <w:r w:rsidRPr="00C77509">
        <w:rPr>
          <w:rFonts w:ascii="Book Antiqua" w:hAnsi="Book Antiqua"/>
          <w:sz w:val="25"/>
          <w:szCs w:val="25"/>
        </w:rPr>
        <w:t xml:space="preserve"> firmaram jurisprudência mansa e pacífica sobre o tema, </w:t>
      </w:r>
      <w:r w:rsidRPr="00C77509">
        <w:rPr>
          <w:rFonts w:ascii="Book Antiqua" w:hAnsi="Book Antiqua"/>
          <w:i/>
          <w:sz w:val="25"/>
          <w:szCs w:val="25"/>
        </w:rPr>
        <w:t>in verbis:</w:t>
      </w:r>
    </w:p>
    <w:p w:rsidR="007A7F1A" w:rsidRPr="00C77509" w:rsidRDefault="007A7F1A" w:rsidP="00705323">
      <w:pPr>
        <w:spacing w:before="240" w:after="240" w:line="240" w:lineRule="auto"/>
        <w:ind w:left="2268"/>
        <w:jc w:val="both"/>
        <w:textAlignment w:val="top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“ADMINISTRATIVO. ECT. SERVIÇO POSTAL. MONOPÓLIO DA UNIÃO. MUNICÍPIO. ENTREGA DE CARNÊS DE IPTU E ISSQN. POSSIBILIDADE. EXCEÇÃO. NÃO VIOLAÇÃO AO MONOPÓLIO ESTATAL. SENTENÇA MANTIDA. 1. Verifica-se que o Texto Constitucional é demasiadamente claro e objetivo, quando em seu art. 21, inc. X, outorga exclusivamente à União a competência para manter o serviço postal, o qual é explorado, em regime de monopólio, pela Empresa Brasileira de Correios e Telégrafos, conforme previsão do Decreto-Lei n° 509/692. 2. Na hipótese dos autos, o que se verifica é que o Município de Campo do Meio entrega carnês de IPTU e ISSQN por intermédio de funcionários da própria prefeitura. Todavia, tal comportamento não viola o monopólio estatal da ECT, uma vez que a os carnês de cobrança do IPTU não se inserem no conceito de serviço postal, para os fins do art. 9º, da Lei n. 6.538/78. 3. "A Primeira Seção do Superior Tribunal de Justiça, no julgamento do REsp 1.141.300/MG, Rel. Ministro HAMILTON CARVALHIDO, submetido ao rito do art. 543-C do CPC, firmou o entendimento no sentido de que "a entrega de carnês de IPTU pelos municípios, sem a intermediação de terceiros, no seu âmbito territorial, </w:t>
      </w:r>
      <w:r w:rsidRPr="00C77509">
        <w:rPr>
          <w:rFonts w:ascii="Book Antiqua" w:hAnsi="Book Antiqua"/>
          <w:sz w:val="25"/>
          <w:szCs w:val="25"/>
        </w:rPr>
        <w:lastRenderedPageBreak/>
        <w:t>não viola o privilégio da União na manutenção do serviço público postal. A notificação, porque integra o procedimento de constituição do crédito tributário, é ato próprio dos entes federativos no exercício da competência tributária, que a podem delegar ao serviço público postal" (STJ, REsp 1.141.300/MG, Rel. Ministro HAMILTON CARVALHIDO, PRIMEIRA SEÇÃO, DJe de 05/10/2010).III. Agravo Regimental improvido. (AgReg no AREsp n. 325492/MG, Relatora Assusete Magalhães, Segunda Turma, DJe de 02/05/2014). 4. Precedentes desta Corte: AC N. 20073811000563-5/MG, Relator Desembargador Federal Souza Prudente, Quinta Turma, e-DJF1 de 15/10/2015, p.536; AC n. 2007.36.00.001890-4/MT, Relatora Desembargadora Federal Selene Maria de Almeida, Quinta Turma, e-DJF 1 de 23/01/2009, p. 87. 5. Apelação e remessa oficial conhecidas e não providas.</w:t>
      </w:r>
    </w:p>
    <w:p w:rsidR="00822362" w:rsidRPr="00C77509" w:rsidRDefault="00822362" w:rsidP="00265541">
      <w:pPr>
        <w:spacing w:before="240" w:after="240" w:line="240" w:lineRule="auto"/>
        <w:ind w:firstLine="1701"/>
        <w:jc w:val="both"/>
        <w:textAlignment w:val="top"/>
        <w:rPr>
          <w:rFonts w:ascii="Book Antiqua" w:hAnsi="Book Antiqua"/>
          <w:i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Registro, por oportuno, que o Superior Tribunal de Justiça</w:t>
      </w:r>
      <w:r w:rsidRPr="00C77509">
        <w:rPr>
          <w:rStyle w:val="Refdenotaderodap"/>
          <w:rFonts w:ascii="Book Antiqua" w:hAnsi="Book Antiqua"/>
          <w:sz w:val="25"/>
          <w:szCs w:val="25"/>
        </w:rPr>
        <w:footnoteReference w:id="2"/>
      </w:r>
      <w:r w:rsidRPr="00C77509">
        <w:rPr>
          <w:rFonts w:ascii="Book Antiqua" w:hAnsi="Book Antiqua"/>
          <w:sz w:val="25"/>
          <w:szCs w:val="25"/>
        </w:rPr>
        <w:t>, também já analisou o tema, decidindo pela legalidade da entrega dos carnês do IPTU por servidores municipais, a despeito do monopólio estatal dos Correios</w:t>
      </w:r>
      <w:r w:rsidRPr="00C77509">
        <w:rPr>
          <w:rFonts w:ascii="Book Antiqua" w:hAnsi="Book Antiqua"/>
          <w:i/>
          <w:sz w:val="25"/>
          <w:szCs w:val="25"/>
        </w:rPr>
        <w:t>, in verbis:</w:t>
      </w:r>
    </w:p>
    <w:p w:rsidR="005C0E44" w:rsidRPr="00C77509" w:rsidRDefault="00822362" w:rsidP="00705323">
      <w:pPr>
        <w:spacing w:before="240" w:after="240" w:line="240" w:lineRule="auto"/>
        <w:ind w:left="2268"/>
        <w:jc w:val="both"/>
        <w:textAlignment w:val="top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“PROCESSUAL. ADMINISTRATIVO. ECT. SECRETARIA MUNICIPAL. ENTREGA DIRETA DE CARNÊS DE IPTU. POSSIBILIDADE. 1. </w:t>
      </w:r>
      <w:r w:rsidRPr="00C77509">
        <w:rPr>
          <w:rFonts w:ascii="Book Antiqua" w:hAnsi="Book Antiqua"/>
          <w:b/>
          <w:sz w:val="25"/>
          <w:szCs w:val="25"/>
        </w:rPr>
        <w:t>A entrega de carnês de IPTU pelos municípios, sem a intermediação de terceiros, no seu âmbito territorial, não viola o privilégio da União na manutenção do serviço público postal</w:t>
      </w:r>
      <w:r w:rsidRPr="00C77509">
        <w:rPr>
          <w:rFonts w:ascii="Book Antiqua" w:hAnsi="Book Antiqua"/>
          <w:sz w:val="25"/>
          <w:szCs w:val="25"/>
        </w:rPr>
        <w:t>. Precedente: REsp 1.141.300/MG, Rel. Ministro Hamilton Carvalhido, Primeira Seção, julgado em 25/8/2010, DJe 5/10/2010. Acórdão sujeito ao procedimento do artigo 543-C do Código de Processo Civil. 2. Agravo de instrumento não provido.</w:t>
      </w:r>
      <w:r w:rsidR="005C0E44" w:rsidRPr="00C77509">
        <w:rPr>
          <w:rFonts w:ascii="Book Antiqua" w:hAnsi="Book Antiqua"/>
          <w:sz w:val="25"/>
          <w:szCs w:val="25"/>
        </w:rPr>
        <w:t>”</w:t>
      </w:r>
    </w:p>
    <w:p w:rsidR="007A7F1A" w:rsidRPr="00C77509" w:rsidRDefault="00822362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lastRenderedPageBreak/>
        <w:t>Registro, ainda, que no julgamento do REsp 1.141.300/MG, de relatoria do eminente ministro Hamilton Carvalhido, Primeira Seção, julgado em 25.8.2010, DJe 5.10.2010, sujeito ao procedimento do artigo 543-C do Código de Processo Civil,</w:t>
      </w:r>
      <w:r w:rsidR="00734A9B" w:rsidRPr="00C77509">
        <w:rPr>
          <w:rFonts w:ascii="Book Antiqua" w:hAnsi="Book Antiqua"/>
          <w:sz w:val="25"/>
          <w:szCs w:val="25"/>
        </w:rPr>
        <w:t xml:space="preserve"> citado no aresto acima reproduzido,</w:t>
      </w:r>
      <w:r w:rsidR="007A7F1A" w:rsidRPr="00C77509">
        <w:rPr>
          <w:rFonts w:ascii="Book Antiqua" w:hAnsi="Book Antiqua"/>
          <w:sz w:val="25"/>
          <w:szCs w:val="25"/>
        </w:rPr>
        <w:t xml:space="preserve"> o Superior Tribunal de Justiça já havia</w:t>
      </w:r>
      <w:r w:rsidRPr="00C77509">
        <w:rPr>
          <w:rFonts w:ascii="Book Antiqua" w:hAnsi="Book Antiqua"/>
          <w:sz w:val="25"/>
          <w:szCs w:val="25"/>
        </w:rPr>
        <w:t xml:space="preserve"> assent</w:t>
      </w:r>
      <w:r w:rsidR="007A7F1A" w:rsidRPr="00C77509">
        <w:rPr>
          <w:rFonts w:ascii="Book Antiqua" w:hAnsi="Book Antiqua"/>
          <w:sz w:val="25"/>
          <w:szCs w:val="25"/>
        </w:rPr>
        <w:t xml:space="preserve">ado o </w:t>
      </w:r>
      <w:r w:rsidRPr="00C77509">
        <w:rPr>
          <w:rFonts w:ascii="Book Antiqua" w:hAnsi="Book Antiqua"/>
          <w:sz w:val="25"/>
          <w:szCs w:val="25"/>
        </w:rPr>
        <w:t>entendimento de que a entrega de carnês de IPTU pelos municípios, sem a intermediação de terceiros, no seu âmbito territorial, não viola o privilégio da União na manutenção do serviço público postal.</w:t>
      </w:r>
    </w:p>
    <w:p w:rsidR="007A7F1A" w:rsidRDefault="00822362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 Eis a ementa do julgado: </w:t>
      </w:r>
    </w:p>
    <w:p w:rsidR="00822362" w:rsidRPr="00C77509" w:rsidRDefault="007A7F1A" w:rsidP="008A57A9">
      <w:pPr>
        <w:spacing w:before="240" w:after="240" w:line="240" w:lineRule="auto"/>
        <w:ind w:left="2268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“</w:t>
      </w:r>
      <w:r w:rsidR="00822362" w:rsidRPr="00C77509">
        <w:rPr>
          <w:rFonts w:ascii="Book Antiqua" w:hAnsi="Book Antiqua"/>
          <w:sz w:val="25"/>
          <w:szCs w:val="25"/>
        </w:rPr>
        <w:t>RECURSO ESPECIAL REPRESENTATIVO DE CONTROVÉRSIA. VIOLAÇÃO DA LEI Nº 6.538/78. PRIVILÉGIO DA UNIÃO NA MANUTENÇÃO DO SERVIÇO PÚBLICO POSTAL. ENTREGA DE CARNÊS DE IPTU POR AGENTES ADMINISTRATIVOS DO MUNICÍPIO. POSSIBILIDADE.</w:t>
      </w:r>
    </w:p>
    <w:p w:rsidR="007A7F1A" w:rsidRPr="00C77509" w:rsidRDefault="007A7F1A" w:rsidP="008A57A9">
      <w:pPr>
        <w:spacing w:before="240" w:after="240" w:line="240" w:lineRule="auto"/>
        <w:ind w:left="2268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1. A entrega de carnês de IPTU pelos municípios, sem a intermediação de terceiros, no seu âmbito territorial, não viola o privilégio da União na manutenção do serviço público postal.</w:t>
      </w:r>
    </w:p>
    <w:p w:rsidR="007A7F1A" w:rsidRPr="00C77509" w:rsidRDefault="007A7F1A" w:rsidP="008A57A9">
      <w:pPr>
        <w:spacing w:before="240" w:after="240" w:line="240" w:lineRule="auto"/>
        <w:ind w:left="2268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 2. A notificação, porque integra o procedimento de constituição do crédito tributário, é ato próprio dos entes federativos no exercício da competência tributária, que a podem delegar ao serviço público postal. 3. Recurso especial improvido. Acórdão sujeito ao procedimento do artigo 543-C do Código de Processo Civil (REsp 1141300/MG, Rel. Ministro Hamilton Carvalhido, Primeira Seção, DJe 05.10.2010).</w:t>
      </w:r>
    </w:p>
    <w:p w:rsidR="00F8768E" w:rsidRPr="00C77509" w:rsidRDefault="00A20F35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Ainda que a matéria tenha chegado ao </w:t>
      </w:r>
      <w:r w:rsidR="00F8768E" w:rsidRPr="00C77509">
        <w:rPr>
          <w:rFonts w:ascii="Book Antiqua" w:hAnsi="Book Antiqua"/>
          <w:sz w:val="25"/>
          <w:szCs w:val="25"/>
        </w:rPr>
        <w:t>Supremo Tribunal Federal,</w:t>
      </w:r>
      <w:r w:rsidRPr="00C77509">
        <w:rPr>
          <w:rFonts w:ascii="Book Antiqua" w:hAnsi="Book Antiqua"/>
          <w:sz w:val="25"/>
          <w:szCs w:val="25"/>
        </w:rPr>
        <w:t xml:space="preserve"> acolhida em repercussão geral, no </w:t>
      </w:r>
      <w:r w:rsidRPr="00C77509">
        <w:rPr>
          <w:rFonts w:ascii="Book Antiqua" w:hAnsi="Book Antiqua"/>
          <w:bCs/>
          <w:sz w:val="25"/>
          <w:szCs w:val="25"/>
        </w:rPr>
        <w:t>RE 667958 RG/MG - Minas Gerais</w:t>
      </w:r>
      <w:r w:rsidR="007A7F1A" w:rsidRPr="00C77509">
        <w:rPr>
          <w:rFonts w:ascii="Book Antiqua" w:hAnsi="Book Antiqua"/>
          <w:bCs/>
          <w:sz w:val="25"/>
          <w:szCs w:val="25"/>
        </w:rPr>
        <w:t xml:space="preserve"> (do Município de Três Marias)</w:t>
      </w:r>
      <w:r w:rsidRPr="00C77509">
        <w:rPr>
          <w:rFonts w:ascii="Book Antiqua" w:hAnsi="Book Antiqua"/>
          <w:bCs/>
          <w:sz w:val="25"/>
          <w:szCs w:val="25"/>
        </w:rPr>
        <w:t>, sob a relatoria do Ministro Gilmar Mendes,</w:t>
      </w:r>
      <w:r w:rsidR="007A7F1A" w:rsidRPr="00C77509">
        <w:rPr>
          <w:rFonts w:ascii="Book Antiqua" w:hAnsi="Book Antiqua"/>
          <w:sz w:val="25"/>
          <w:szCs w:val="25"/>
        </w:rPr>
        <w:t xml:space="preserve"> </w:t>
      </w:r>
      <w:r w:rsidR="007A7F1A" w:rsidRPr="00C77509">
        <w:rPr>
          <w:rFonts w:ascii="Book Antiqua" w:hAnsi="Book Antiqua"/>
          <w:bCs/>
          <w:sz w:val="25"/>
          <w:szCs w:val="25"/>
        </w:rPr>
        <w:t>em julgamento ocorrido em</w:t>
      </w:r>
      <w:r w:rsidRPr="00C77509">
        <w:rPr>
          <w:rFonts w:ascii="Book Antiqua" w:hAnsi="Book Antiqua"/>
          <w:bCs/>
          <w:sz w:val="25"/>
          <w:szCs w:val="25"/>
        </w:rPr>
        <w:t xml:space="preserve"> 08/03/2012</w:t>
      </w:r>
      <w:r w:rsidRPr="00C77509">
        <w:rPr>
          <w:rFonts w:ascii="Book Antiqua" w:hAnsi="Book Antiqua"/>
          <w:sz w:val="25"/>
          <w:szCs w:val="25"/>
        </w:rPr>
        <w:t>,</w:t>
      </w:r>
      <w:r w:rsidR="00F8768E" w:rsidRPr="00C77509">
        <w:rPr>
          <w:rFonts w:ascii="Book Antiqua" w:hAnsi="Book Antiqua"/>
          <w:sz w:val="25"/>
          <w:szCs w:val="25"/>
        </w:rPr>
        <w:t xml:space="preserve"> </w:t>
      </w:r>
      <w:r w:rsidRPr="00C77509">
        <w:rPr>
          <w:rFonts w:ascii="Book Antiqua" w:hAnsi="Book Antiqua"/>
          <w:sz w:val="25"/>
          <w:szCs w:val="25"/>
        </w:rPr>
        <w:t xml:space="preserve">não há ainda a palavra final do guardião da Constituição, </w:t>
      </w:r>
      <w:r w:rsidR="00970C11" w:rsidRPr="00C77509">
        <w:rPr>
          <w:rFonts w:ascii="Book Antiqua" w:hAnsi="Book Antiqua"/>
          <w:sz w:val="25"/>
          <w:szCs w:val="25"/>
        </w:rPr>
        <w:t xml:space="preserve">mas não há como ignorar – até pela vantajosidade dos municípios com notável economia ao erário - os </w:t>
      </w:r>
      <w:r w:rsidR="00970C11" w:rsidRPr="00C77509">
        <w:rPr>
          <w:rFonts w:ascii="Book Antiqua" w:hAnsi="Book Antiqua"/>
          <w:sz w:val="25"/>
          <w:szCs w:val="25"/>
        </w:rPr>
        <w:lastRenderedPageBreak/>
        <w:t>pronunciamentos contrários ao monopólio estatal dos Correios já consolidados nos Tribunais Regionais Feder</w:t>
      </w:r>
      <w:r w:rsidR="007A7F1A" w:rsidRPr="00C77509">
        <w:rPr>
          <w:rFonts w:ascii="Book Antiqua" w:hAnsi="Book Antiqua"/>
          <w:sz w:val="25"/>
          <w:szCs w:val="25"/>
        </w:rPr>
        <w:t>ais de todas as regiões do país e do próprio Superior Tribunal de Justiça, como demonstrado acima.</w:t>
      </w:r>
    </w:p>
    <w:p w:rsidR="00970C11" w:rsidRPr="00C77509" w:rsidRDefault="00970C11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Além disso, o Município de Leopoldina vem adotando a distribuição dos carnês do IPTU através dos seus servidores</w:t>
      </w:r>
      <w:r w:rsidR="00C116BA" w:rsidRPr="00C77509">
        <w:rPr>
          <w:rFonts w:ascii="Book Antiqua" w:hAnsi="Book Antiqua"/>
          <w:sz w:val="25"/>
          <w:szCs w:val="25"/>
        </w:rPr>
        <w:t xml:space="preserve"> lotados no âmbito da Secretaria Municipal de Fazenda</w:t>
      </w:r>
      <w:r w:rsidRPr="00C77509">
        <w:rPr>
          <w:rFonts w:ascii="Book Antiqua" w:hAnsi="Book Antiqua"/>
          <w:sz w:val="25"/>
          <w:szCs w:val="25"/>
        </w:rPr>
        <w:t xml:space="preserve"> há pelo menos 6 (seis) anos ininterruptos, sem que tivesse sido acionado judicialmente pela Empresa Brasileira de Correios e Telégrafos, salvo prova em contrário.</w:t>
      </w:r>
    </w:p>
    <w:p w:rsidR="00F70DF2" w:rsidRPr="00C77509" w:rsidRDefault="00F70DF2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Portanto,</w:t>
      </w:r>
      <w:r w:rsidR="00970C11" w:rsidRPr="00C77509">
        <w:rPr>
          <w:rFonts w:ascii="Book Antiqua" w:hAnsi="Book Antiqua"/>
          <w:sz w:val="25"/>
          <w:szCs w:val="25"/>
        </w:rPr>
        <w:t xml:space="preserve"> a considerar a reiterada jurisprudência dos tribunais federais em relação à matéria em análise,</w:t>
      </w:r>
      <w:r w:rsidR="002D1656" w:rsidRPr="00C77509">
        <w:rPr>
          <w:rFonts w:ascii="Book Antiqua" w:hAnsi="Book Antiqua"/>
          <w:sz w:val="25"/>
          <w:szCs w:val="25"/>
        </w:rPr>
        <w:t xml:space="preserve"> dúvida não se tem que</w:t>
      </w:r>
      <w:r w:rsidRPr="00C77509">
        <w:rPr>
          <w:rFonts w:ascii="Book Antiqua" w:hAnsi="Book Antiqua"/>
          <w:sz w:val="25"/>
          <w:szCs w:val="25"/>
        </w:rPr>
        <w:t xml:space="preserve"> a </w:t>
      </w:r>
      <w:r w:rsidR="00970C11" w:rsidRPr="00C77509">
        <w:rPr>
          <w:rFonts w:ascii="Book Antiqua" w:hAnsi="Book Antiqua"/>
          <w:sz w:val="25"/>
          <w:szCs w:val="25"/>
        </w:rPr>
        <w:t>mesma</w:t>
      </w:r>
      <w:r w:rsidRPr="00C77509">
        <w:rPr>
          <w:rFonts w:ascii="Book Antiqua" w:hAnsi="Book Antiqua"/>
          <w:sz w:val="25"/>
          <w:szCs w:val="25"/>
        </w:rPr>
        <w:t xml:space="preserve"> se reveste de constitucionalidade e legalidade, além </w:t>
      </w:r>
      <w:r w:rsidR="00697572" w:rsidRPr="00C77509">
        <w:rPr>
          <w:rFonts w:ascii="Book Antiqua" w:hAnsi="Book Antiqua"/>
          <w:sz w:val="25"/>
          <w:szCs w:val="25"/>
        </w:rPr>
        <w:t>do</w:t>
      </w:r>
      <w:r w:rsidRPr="00C77509">
        <w:rPr>
          <w:rFonts w:ascii="Book Antiqua" w:hAnsi="Book Antiqua"/>
          <w:sz w:val="25"/>
          <w:szCs w:val="25"/>
        </w:rPr>
        <w:t xml:space="preserve"> que se trata de matéria que se acha inserida no âmbito da competência legislativa originária exclusiva do Chefe do Poder Executivo.</w:t>
      </w:r>
    </w:p>
    <w:p w:rsidR="002004DF" w:rsidRPr="00C77509" w:rsidRDefault="002004DF" w:rsidP="002004DF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3 – DA ANÁLISE DO TEXTO PROPOSTO NO PROJETO DE LEI</w:t>
      </w:r>
    </w:p>
    <w:p w:rsidR="00C91C2D" w:rsidRPr="00C77509" w:rsidRDefault="00A56784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Especificadamente em relação</w:t>
      </w:r>
      <w:r w:rsidR="00F70DF2" w:rsidRPr="00C77509">
        <w:rPr>
          <w:rFonts w:ascii="Book Antiqua" w:hAnsi="Book Antiqua"/>
          <w:sz w:val="25"/>
          <w:szCs w:val="25"/>
        </w:rPr>
        <w:t xml:space="preserve"> texto proposto</w:t>
      </w:r>
      <w:r w:rsidRPr="00C77509">
        <w:rPr>
          <w:rFonts w:ascii="Book Antiqua" w:hAnsi="Book Antiqua"/>
          <w:sz w:val="25"/>
          <w:szCs w:val="25"/>
        </w:rPr>
        <w:t xml:space="preserve"> no projeto de lei em análise</w:t>
      </w:r>
      <w:r w:rsidR="00F70DF2" w:rsidRPr="00C77509">
        <w:rPr>
          <w:rFonts w:ascii="Book Antiqua" w:hAnsi="Book Antiqua"/>
          <w:sz w:val="25"/>
          <w:szCs w:val="25"/>
        </w:rPr>
        <w:t xml:space="preserve">, comparativamente àquele de que trata a Lei nº </w:t>
      </w:r>
      <w:r w:rsidR="00697572" w:rsidRPr="00C77509">
        <w:rPr>
          <w:rFonts w:ascii="Book Antiqua" w:hAnsi="Book Antiqua"/>
          <w:sz w:val="25"/>
          <w:szCs w:val="25"/>
        </w:rPr>
        <w:t>4.016, de 4 de abril de 2012</w:t>
      </w:r>
      <w:r w:rsidR="00F70DF2" w:rsidRPr="00C77509">
        <w:rPr>
          <w:rFonts w:ascii="Book Antiqua" w:hAnsi="Book Antiqua"/>
          <w:sz w:val="25"/>
          <w:szCs w:val="25"/>
        </w:rPr>
        <w:t>,</w:t>
      </w:r>
      <w:r w:rsidR="00C91C2D" w:rsidRPr="00C77509">
        <w:rPr>
          <w:rFonts w:ascii="Book Antiqua" w:hAnsi="Book Antiqua"/>
          <w:sz w:val="25"/>
          <w:szCs w:val="25"/>
        </w:rPr>
        <w:t xml:space="preserve"> for</w:t>
      </w:r>
      <w:r w:rsidR="00C116BA" w:rsidRPr="00C77509">
        <w:rPr>
          <w:rFonts w:ascii="Book Antiqua" w:hAnsi="Book Antiqua"/>
          <w:sz w:val="25"/>
          <w:szCs w:val="25"/>
        </w:rPr>
        <w:t>am propostas algumas alterações, pontuais, como se observa</w:t>
      </w:r>
      <w:r w:rsidR="002004DF" w:rsidRPr="00C77509">
        <w:rPr>
          <w:rFonts w:ascii="Book Antiqua" w:hAnsi="Book Antiqua"/>
          <w:sz w:val="25"/>
          <w:szCs w:val="25"/>
        </w:rPr>
        <w:t>, o que ensejou as impressões levadas em consideração no item 2.2 deste parecer.</w:t>
      </w:r>
    </w:p>
    <w:p w:rsidR="00F70DF2" w:rsidRPr="00C77509" w:rsidRDefault="00C91C2D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Na primeira que se nota, </w:t>
      </w:r>
      <w:r w:rsidR="00880563" w:rsidRPr="00C77509">
        <w:rPr>
          <w:rFonts w:ascii="Book Antiqua" w:hAnsi="Book Antiqua"/>
          <w:sz w:val="25"/>
          <w:szCs w:val="25"/>
        </w:rPr>
        <w:t>pretende o seu autor, o Prefeito Municipal,</w:t>
      </w:r>
      <w:r w:rsidR="00F70DF2" w:rsidRPr="00C77509">
        <w:rPr>
          <w:rFonts w:ascii="Book Antiqua" w:hAnsi="Book Antiqua"/>
          <w:sz w:val="25"/>
          <w:szCs w:val="25"/>
        </w:rPr>
        <w:t xml:space="preserve"> retirar</w:t>
      </w:r>
      <w:r w:rsidRPr="00C77509">
        <w:rPr>
          <w:rFonts w:ascii="Book Antiqua" w:hAnsi="Book Antiqua"/>
          <w:sz w:val="25"/>
          <w:szCs w:val="25"/>
        </w:rPr>
        <w:t xml:space="preserve"> a preferência</w:t>
      </w:r>
      <w:r w:rsidR="00F70DF2" w:rsidRPr="00C77509">
        <w:rPr>
          <w:rFonts w:ascii="Book Antiqua" w:hAnsi="Book Antiqua"/>
          <w:sz w:val="25"/>
          <w:szCs w:val="25"/>
        </w:rPr>
        <w:t xml:space="preserve"> dos servidores lotados no âmbito da Secretaria Municipal de Fazenda </w:t>
      </w:r>
      <w:r w:rsidRPr="00C77509">
        <w:rPr>
          <w:rFonts w:ascii="Book Antiqua" w:hAnsi="Book Antiqua"/>
          <w:sz w:val="25"/>
          <w:szCs w:val="25"/>
        </w:rPr>
        <w:t xml:space="preserve">quanto </w:t>
      </w:r>
      <w:r w:rsidR="00F70DF2" w:rsidRPr="00C77509">
        <w:rPr>
          <w:rFonts w:ascii="Book Antiqua" w:hAnsi="Book Antiqua"/>
          <w:sz w:val="25"/>
          <w:szCs w:val="25"/>
        </w:rPr>
        <w:t>a atribuição da entrega dos carnês do Imposto Predial e Territorial Urbano – IPTU, passando-a aos servidores lotados</w:t>
      </w:r>
      <w:r w:rsidR="00880563" w:rsidRPr="00C77509">
        <w:rPr>
          <w:rFonts w:ascii="Book Antiqua" w:hAnsi="Book Antiqua"/>
          <w:sz w:val="25"/>
          <w:szCs w:val="25"/>
        </w:rPr>
        <w:t xml:space="preserve"> </w:t>
      </w:r>
      <w:r w:rsidR="00F70DF2" w:rsidRPr="00C77509">
        <w:rPr>
          <w:rFonts w:ascii="Book Antiqua" w:hAnsi="Book Antiqua"/>
          <w:sz w:val="25"/>
          <w:szCs w:val="25"/>
        </w:rPr>
        <w:t xml:space="preserve">no âmbito da Secretaria Municipal de Saúde, precisamente os agentes comunitários do Programa ESF – Estratégia de Saúde </w:t>
      </w:r>
      <w:r w:rsidRPr="00C77509">
        <w:rPr>
          <w:rFonts w:ascii="Book Antiqua" w:hAnsi="Book Antiqua"/>
          <w:sz w:val="25"/>
          <w:szCs w:val="25"/>
        </w:rPr>
        <w:t xml:space="preserve">da Família, </w:t>
      </w:r>
      <w:r w:rsidR="00F72A9F" w:rsidRPr="00C77509">
        <w:rPr>
          <w:rFonts w:ascii="Book Antiqua" w:hAnsi="Book Antiqua"/>
          <w:sz w:val="25"/>
          <w:szCs w:val="25"/>
        </w:rPr>
        <w:t>pelas razões consignadas na mensagem.</w:t>
      </w:r>
    </w:p>
    <w:p w:rsidR="00C37A89" w:rsidRDefault="00C91C2D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Apesar da entrega de carnês do IPTU não se inserem dentre as funções do cargo de agente comunitário de saúde, previstas na Lei Federal nº 11.350</w:t>
      </w:r>
      <w:r w:rsidR="00C64F86">
        <w:rPr>
          <w:rFonts w:ascii="Book Antiqua" w:hAnsi="Book Antiqua"/>
          <w:sz w:val="25"/>
          <w:szCs w:val="25"/>
        </w:rPr>
        <w:t>, de 5 de outubro de 2006</w:t>
      </w:r>
      <w:r w:rsidRPr="00C77509">
        <w:rPr>
          <w:rFonts w:ascii="Book Antiqua" w:hAnsi="Book Antiqua"/>
          <w:sz w:val="25"/>
          <w:szCs w:val="25"/>
        </w:rPr>
        <w:t xml:space="preserve"> e no documento denominado PNAB</w:t>
      </w:r>
      <w:r w:rsidRPr="00C77509">
        <w:rPr>
          <w:rStyle w:val="Refdenotaderodap"/>
          <w:rFonts w:ascii="Book Antiqua" w:hAnsi="Book Antiqua"/>
          <w:sz w:val="25"/>
          <w:szCs w:val="25"/>
        </w:rPr>
        <w:footnoteReference w:id="3"/>
      </w:r>
      <w:r w:rsidRPr="00C77509">
        <w:rPr>
          <w:rFonts w:ascii="Book Antiqua" w:hAnsi="Book Antiqua"/>
          <w:sz w:val="25"/>
          <w:szCs w:val="25"/>
        </w:rPr>
        <w:t xml:space="preserve"> – Programa Nacional de Atenção Básica, do Ministério da Saúde, a </w:t>
      </w:r>
      <w:r w:rsidRPr="00C77509">
        <w:rPr>
          <w:rFonts w:ascii="Book Antiqua" w:hAnsi="Book Antiqua"/>
          <w:sz w:val="25"/>
          <w:szCs w:val="25"/>
        </w:rPr>
        <w:lastRenderedPageBreak/>
        <w:t xml:space="preserve">gestão das ações dos agentes é descentralizada e </w:t>
      </w:r>
      <w:r w:rsidR="00481B7B">
        <w:rPr>
          <w:rFonts w:ascii="Book Antiqua" w:hAnsi="Book Antiqua"/>
          <w:sz w:val="25"/>
          <w:szCs w:val="25"/>
        </w:rPr>
        <w:t>as prefeituras</w:t>
      </w:r>
      <w:r w:rsidRPr="00C77509">
        <w:rPr>
          <w:rFonts w:ascii="Book Antiqua" w:hAnsi="Book Antiqua"/>
          <w:sz w:val="25"/>
          <w:szCs w:val="25"/>
        </w:rPr>
        <w:t xml:space="preserve"> têm autonomia para cuidar das atividades dos servidores.</w:t>
      </w:r>
    </w:p>
    <w:p w:rsidR="00E27E2C" w:rsidRPr="00C77509" w:rsidRDefault="00E27E2C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No plano municipal, o artigo 12 da Lei Municipal nº 3.929, de 1º de julho de 2010, diz que o cargo de Agente Comunitário de Saúde, tem suas atividades, atribuições (funções) e forma da admissão para o seu exercício definidos na Lei Federal nº 11.350, de 5 de outubro de 2006, sob pena de nulidade da nomeação.</w:t>
      </w:r>
    </w:p>
    <w:p w:rsidR="00C91C2D" w:rsidRPr="00C77509" w:rsidRDefault="00C37A8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Acrescente-se</w:t>
      </w:r>
      <w:r w:rsidR="00F75763" w:rsidRPr="00C77509">
        <w:rPr>
          <w:rFonts w:ascii="Book Antiqua" w:hAnsi="Book Antiqua"/>
          <w:sz w:val="25"/>
          <w:szCs w:val="25"/>
        </w:rPr>
        <w:t xml:space="preserve">, </w:t>
      </w:r>
      <w:r w:rsidRPr="00C77509">
        <w:rPr>
          <w:rFonts w:ascii="Book Antiqua" w:hAnsi="Book Antiqua"/>
          <w:sz w:val="25"/>
          <w:szCs w:val="25"/>
        </w:rPr>
        <w:t>ainda</w:t>
      </w:r>
      <w:r w:rsidR="00F75763" w:rsidRPr="00C77509">
        <w:rPr>
          <w:rFonts w:ascii="Book Antiqua" w:hAnsi="Book Antiqua"/>
          <w:sz w:val="25"/>
          <w:szCs w:val="25"/>
        </w:rPr>
        <w:t>,</w:t>
      </w:r>
      <w:r w:rsidRPr="00C77509">
        <w:rPr>
          <w:rFonts w:ascii="Book Antiqua" w:hAnsi="Book Antiqua"/>
          <w:sz w:val="25"/>
          <w:szCs w:val="25"/>
        </w:rPr>
        <w:t xml:space="preserve"> que tanto na referida lei federal, como na Lei Municipal nº </w:t>
      </w:r>
      <w:r w:rsidR="00E27E2C">
        <w:rPr>
          <w:rFonts w:ascii="Book Antiqua" w:hAnsi="Book Antiqua"/>
          <w:sz w:val="25"/>
          <w:szCs w:val="25"/>
        </w:rPr>
        <w:t>3.929/2010</w:t>
      </w:r>
      <w:r w:rsidRPr="00C77509">
        <w:rPr>
          <w:rFonts w:ascii="Book Antiqua" w:hAnsi="Book Antiqua"/>
          <w:sz w:val="25"/>
          <w:szCs w:val="25"/>
        </w:rPr>
        <w:t xml:space="preserve"> e no PNAB -</w:t>
      </w:r>
      <w:r w:rsidR="00C91C2D" w:rsidRPr="00C77509">
        <w:rPr>
          <w:rFonts w:ascii="Book Antiqua" w:hAnsi="Book Antiqua"/>
          <w:sz w:val="25"/>
          <w:szCs w:val="25"/>
        </w:rPr>
        <w:t xml:space="preserve"> </w:t>
      </w:r>
      <w:r w:rsidRPr="00C77509">
        <w:rPr>
          <w:rFonts w:ascii="Book Antiqua" w:hAnsi="Book Antiqua"/>
          <w:sz w:val="25"/>
          <w:szCs w:val="25"/>
        </w:rPr>
        <w:t xml:space="preserve">Programa Nacional de Atenção Básica, do Ministério da Saúde, </w:t>
      </w:r>
      <w:r w:rsidR="00F75763" w:rsidRPr="00C77509">
        <w:rPr>
          <w:rFonts w:ascii="Book Antiqua" w:hAnsi="Book Antiqua"/>
          <w:sz w:val="25"/>
          <w:szCs w:val="25"/>
        </w:rPr>
        <w:t>não vislumbramos proibição para a execução de um serviço extra,</w:t>
      </w:r>
      <w:r w:rsidR="00C77509">
        <w:rPr>
          <w:rFonts w:ascii="Book Antiqua" w:hAnsi="Book Antiqua"/>
          <w:sz w:val="25"/>
          <w:szCs w:val="25"/>
        </w:rPr>
        <w:t xml:space="preserve"> de interesse público e da municipalidade, como é o caso de entrega dos carnês do IPTU,</w:t>
      </w:r>
      <w:r w:rsidR="00F75763" w:rsidRPr="00C77509">
        <w:rPr>
          <w:rFonts w:ascii="Book Antiqua" w:hAnsi="Book Antiqua"/>
          <w:sz w:val="25"/>
          <w:szCs w:val="25"/>
        </w:rPr>
        <w:t xml:space="preserve"> fora do horário n</w:t>
      </w:r>
      <w:r w:rsidR="00C77509">
        <w:rPr>
          <w:rFonts w:ascii="Book Antiqua" w:hAnsi="Book Antiqua"/>
          <w:sz w:val="25"/>
          <w:szCs w:val="25"/>
        </w:rPr>
        <w:t>ormal de expediente do servidor, mediante a percepção de gratificação.</w:t>
      </w:r>
    </w:p>
    <w:p w:rsidR="00707367" w:rsidRPr="00C77509" w:rsidRDefault="005769FD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Ademais, o projeto de lei não obriga a entrega dos carnês do IPTU pelos agentes comunitários de saúde, mas dá a eles a preferência – e se eles quiserem</w:t>
      </w:r>
      <w:r w:rsidR="00707367" w:rsidRPr="00C77509">
        <w:rPr>
          <w:rFonts w:ascii="Book Antiqua" w:hAnsi="Book Antiqua"/>
          <w:sz w:val="25"/>
          <w:szCs w:val="25"/>
        </w:rPr>
        <w:t xml:space="preserve"> (é bom que se diga)</w:t>
      </w:r>
      <w:r w:rsidRPr="00C77509">
        <w:rPr>
          <w:rFonts w:ascii="Book Antiqua" w:hAnsi="Book Antiqua"/>
          <w:sz w:val="25"/>
          <w:szCs w:val="25"/>
        </w:rPr>
        <w:t xml:space="preserve"> – </w:t>
      </w:r>
      <w:r w:rsidR="00707367" w:rsidRPr="00C77509">
        <w:rPr>
          <w:rFonts w:ascii="Book Antiqua" w:hAnsi="Book Antiqua"/>
          <w:sz w:val="25"/>
          <w:szCs w:val="25"/>
        </w:rPr>
        <w:t xml:space="preserve">prestar o serviço remunerado. Logo, presta o serviço o servidor que quiser ou que pretendem prestar, defluindo daí a democrática publicação de edital de chamamento (art. 2º), exatamente para não beneficiar esse ou aquele servidor, </w:t>
      </w:r>
      <w:r w:rsidR="00C37A89" w:rsidRPr="00C77509">
        <w:rPr>
          <w:rFonts w:ascii="Book Antiqua" w:hAnsi="Book Antiqua"/>
          <w:sz w:val="25"/>
          <w:szCs w:val="25"/>
        </w:rPr>
        <w:t>em atendimento ao princípio da publicidade e da impessoalidade.</w:t>
      </w:r>
    </w:p>
    <w:p w:rsidR="00707367" w:rsidRPr="00C77509" w:rsidRDefault="0070736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Por outro lado, não há que falar, no nosso modesto entendimento em desvio de função, pois o serviço de que trata a Lei não poderá ser executado pelo servidor em seu horário de expediente (art. 3º, II). Tal entendimento vale tanto para os servidores da Secretaria</w:t>
      </w:r>
      <w:r w:rsidR="0091625D" w:rsidRPr="00C77509">
        <w:rPr>
          <w:rFonts w:ascii="Book Antiqua" w:hAnsi="Book Antiqua"/>
          <w:sz w:val="25"/>
          <w:szCs w:val="25"/>
        </w:rPr>
        <w:t xml:space="preserve"> Municipal</w:t>
      </w:r>
      <w:r w:rsidRPr="00C77509">
        <w:rPr>
          <w:rFonts w:ascii="Book Antiqua" w:hAnsi="Book Antiqua"/>
          <w:sz w:val="25"/>
          <w:szCs w:val="25"/>
        </w:rPr>
        <w:t xml:space="preserve"> da Fazenda,</w:t>
      </w:r>
      <w:r w:rsidR="00C37A89" w:rsidRPr="00C77509">
        <w:rPr>
          <w:rFonts w:ascii="Book Antiqua" w:hAnsi="Book Antiqua"/>
          <w:sz w:val="25"/>
          <w:szCs w:val="25"/>
        </w:rPr>
        <w:t xml:space="preserve"> na forma da lei vigente,</w:t>
      </w:r>
      <w:r w:rsidRPr="00C77509">
        <w:rPr>
          <w:rFonts w:ascii="Book Antiqua" w:hAnsi="Book Antiqua"/>
          <w:sz w:val="25"/>
          <w:szCs w:val="25"/>
        </w:rPr>
        <w:t xml:space="preserve"> como também, do</w:t>
      </w:r>
      <w:r w:rsidR="00C37A89" w:rsidRPr="00C77509">
        <w:rPr>
          <w:rFonts w:ascii="Book Antiqua" w:hAnsi="Book Antiqua"/>
          <w:sz w:val="25"/>
          <w:szCs w:val="25"/>
        </w:rPr>
        <w:t>s agentes comunitários de saúde, agora abrangidos e apontados que terão preferência pelo projeto de lei em análise.</w:t>
      </w:r>
    </w:p>
    <w:p w:rsidR="005769FD" w:rsidRPr="00C77509" w:rsidRDefault="0070736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De fato, para a caracterização do desvio de função é indispensável: 1º) que seja determinada por lei ou por ordem de superior hierárquico</w:t>
      </w:r>
      <w:r w:rsidR="00C37A89" w:rsidRPr="00C77509">
        <w:rPr>
          <w:rFonts w:ascii="Book Antiqua" w:hAnsi="Book Antiqua"/>
          <w:sz w:val="25"/>
          <w:szCs w:val="25"/>
        </w:rPr>
        <w:t xml:space="preserve"> a execução de funções não descritas nas atribuições do cargo para o qual foi provido o servidor</w:t>
      </w:r>
      <w:r w:rsidRPr="00C77509">
        <w:rPr>
          <w:rFonts w:ascii="Book Antiqua" w:hAnsi="Book Antiqua"/>
          <w:sz w:val="25"/>
          <w:szCs w:val="25"/>
        </w:rPr>
        <w:t>; 2º) que a execução do serviço</w:t>
      </w:r>
      <w:r w:rsidR="00C37A89" w:rsidRPr="00C77509">
        <w:rPr>
          <w:rFonts w:ascii="Book Antiqua" w:hAnsi="Book Antiqua"/>
          <w:sz w:val="25"/>
          <w:szCs w:val="25"/>
        </w:rPr>
        <w:t xml:space="preserve"> ou função</w:t>
      </w:r>
      <w:r w:rsidRPr="00C77509">
        <w:rPr>
          <w:rFonts w:ascii="Book Antiqua" w:hAnsi="Book Antiqua"/>
          <w:sz w:val="25"/>
          <w:szCs w:val="25"/>
        </w:rPr>
        <w:t xml:space="preserve"> divers</w:t>
      </w:r>
      <w:r w:rsidR="00C37A89" w:rsidRPr="00C77509">
        <w:rPr>
          <w:rFonts w:ascii="Book Antiqua" w:hAnsi="Book Antiqua"/>
          <w:sz w:val="25"/>
          <w:szCs w:val="25"/>
        </w:rPr>
        <w:t>a</w:t>
      </w:r>
      <w:r w:rsidRPr="00C77509">
        <w:rPr>
          <w:rFonts w:ascii="Book Antiqua" w:hAnsi="Book Antiqua"/>
          <w:sz w:val="25"/>
          <w:szCs w:val="25"/>
        </w:rPr>
        <w:t xml:space="preserve"> daquele previsto para o cargo exercido pelo servidor se</w:t>
      </w:r>
      <w:r w:rsidR="00C37A89" w:rsidRPr="00C77509">
        <w:rPr>
          <w:rFonts w:ascii="Book Antiqua" w:hAnsi="Book Antiqua"/>
          <w:sz w:val="25"/>
          <w:szCs w:val="25"/>
        </w:rPr>
        <w:t>ja no seu horário de expediente.</w:t>
      </w:r>
    </w:p>
    <w:p w:rsidR="00C37A89" w:rsidRPr="00D60982" w:rsidRDefault="00C37A8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lastRenderedPageBreak/>
        <w:t xml:space="preserve">O desvio de função, se eventualmente caracterizado, enseja o pagamento da diferença de vencimentos, o que não poderá ser </w:t>
      </w:r>
      <w:r w:rsidR="00C77509">
        <w:rPr>
          <w:rFonts w:ascii="Book Antiqua" w:hAnsi="Book Antiqua"/>
          <w:sz w:val="25"/>
          <w:szCs w:val="25"/>
        </w:rPr>
        <w:t>exigível, pelo servidor,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C77509">
        <w:rPr>
          <w:rFonts w:ascii="Book Antiqua" w:hAnsi="Book Antiqua"/>
          <w:sz w:val="25"/>
          <w:szCs w:val="25"/>
        </w:rPr>
        <w:t>no</w:t>
      </w:r>
      <w:r w:rsidRPr="00C77509">
        <w:rPr>
          <w:rFonts w:ascii="Book Antiqua" w:hAnsi="Book Antiqua"/>
          <w:sz w:val="25"/>
          <w:szCs w:val="25"/>
        </w:rPr>
        <w:t xml:space="preserve"> caso concreto, pois há previsibilidade da remuneração pela execução de serviço,</w:t>
      </w:r>
      <w:r w:rsidR="00C77509">
        <w:rPr>
          <w:rFonts w:ascii="Book Antiqua" w:hAnsi="Book Antiqua"/>
          <w:sz w:val="25"/>
          <w:szCs w:val="25"/>
        </w:rPr>
        <w:t xml:space="preserve"> ou seja, da gratificação,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C77509">
        <w:rPr>
          <w:rFonts w:ascii="Book Antiqua" w:hAnsi="Book Antiqua"/>
          <w:sz w:val="25"/>
          <w:szCs w:val="25"/>
        </w:rPr>
        <w:t xml:space="preserve">cuja condição e valor por carnê do IPTU entregue, </w:t>
      </w:r>
      <w:r w:rsidRPr="00C77509">
        <w:rPr>
          <w:rFonts w:ascii="Book Antiqua" w:hAnsi="Book Antiqua"/>
          <w:sz w:val="25"/>
          <w:szCs w:val="25"/>
        </w:rPr>
        <w:t xml:space="preserve">o servidor aceita por adesão, </w:t>
      </w:r>
      <w:r w:rsidR="00C77509">
        <w:rPr>
          <w:rFonts w:ascii="Book Antiqua" w:hAnsi="Book Antiqua"/>
          <w:sz w:val="25"/>
          <w:szCs w:val="25"/>
        </w:rPr>
        <w:t>e que</w:t>
      </w:r>
      <w:r w:rsidRPr="00C77509">
        <w:rPr>
          <w:rFonts w:ascii="Book Antiqua" w:hAnsi="Book Antiqua"/>
          <w:sz w:val="25"/>
          <w:szCs w:val="25"/>
        </w:rPr>
        <w:t xml:space="preserve"> deverá </w:t>
      </w:r>
      <w:r w:rsidR="00C77509">
        <w:rPr>
          <w:rFonts w:ascii="Book Antiqua" w:hAnsi="Book Antiqua"/>
          <w:sz w:val="25"/>
          <w:szCs w:val="25"/>
        </w:rPr>
        <w:t>estar</w:t>
      </w:r>
      <w:r w:rsidRPr="00C77509">
        <w:rPr>
          <w:rFonts w:ascii="Book Antiqua" w:hAnsi="Book Antiqua"/>
          <w:sz w:val="25"/>
          <w:szCs w:val="25"/>
        </w:rPr>
        <w:t xml:space="preserve"> previsto no edital de chamamento,</w:t>
      </w:r>
      <w:r w:rsidR="00C77509">
        <w:rPr>
          <w:rFonts w:ascii="Book Antiqua" w:hAnsi="Book Antiqua"/>
          <w:sz w:val="25"/>
          <w:szCs w:val="25"/>
        </w:rPr>
        <w:t xml:space="preserve"> conforme consta na Lei Municipal nº 4.016/12,</w:t>
      </w:r>
      <w:r w:rsidRPr="00C77509">
        <w:rPr>
          <w:rFonts w:ascii="Book Antiqua" w:hAnsi="Book Antiqua"/>
          <w:sz w:val="25"/>
          <w:szCs w:val="25"/>
        </w:rPr>
        <w:t xml:space="preserve"> o que em última análise, não seria possível de postular, dada a possibilidade de configuração de </w:t>
      </w:r>
      <w:r w:rsidRPr="00C77509">
        <w:rPr>
          <w:rFonts w:ascii="Book Antiqua" w:hAnsi="Book Antiqua"/>
          <w:i/>
          <w:sz w:val="25"/>
          <w:szCs w:val="25"/>
        </w:rPr>
        <w:t>“bis in idem”</w:t>
      </w:r>
      <w:r w:rsidR="00D60982">
        <w:rPr>
          <w:rFonts w:ascii="Book Antiqua" w:hAnsi="Book Antiqua"/>
          <w:i/>
          <w:sz w:val="25"/>
          <w:szCs w:val="25"/>
        </w:rPr>
        <w:t xml:space="preserve">, </w:t>
      </w:r>
      <w:r w:rsidR="00D60982" w:rsidRPr="00D60982">
        <w:rPr>
          <w:rFonts w:ascii="Book Antiqua" w:hAnsi="Book Antiqua"/>
          <w:sz w:val="25"/>
          <w:szCs w:val="25"/>
        </w:rPr>
        <w:t>e muito menos como hora extraordinária.</w:t>
      </w:r>
    </w:p>
    <w:p w:rsidR="00707367" w:rsidRPr="00C77509" w:rsidRDefault="00C37A8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Portanto, não se vislumbra óbice legal no caso em questão.</w:t>
      </w:r>
      <w:r w:rsidR="00707367" w:rsidRPr="00C77509">
        <w:rPr>
          <w:rFonts w:ascii="Book Antiqua" w:hAnsi="Book Antiqua"/>
          <w:sz w:val="25"/>
          <w:szCs w:val="25"/>
        </w:rPr>
        <w:t xml:space="preserve"> </w:t>
      </w:r>
    </w:p>
    <w:p w:rsidR="002D1656" w:rsidRPr="00C77509" w:rsidRDefault="00697572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Ainda </w:t>
      </w:r>
      <w:r w:rsidR="00BE5B15" w:rsidRPr="00C77509">
        <w:rPr>
          <w:rFonts w:ascii="Book Antiqua" w:hAnsi="Book Antiqua"/>
          <w:sz w:val="25"/>
          <w:szCs w:val="25"/>
        </w:rPr>
        <w:t>comparativamente</w:t>
      </w:r>
      <w:r w:rsidR="00D60982">
        <w:rPr>
          <w:rFonts w:ascii="Book Antiqua" w:hAnsi="Book Antiqua"/>
          <w:sz w:val="25"/>
          <w:szCs w:val="25"/>
        </w:rPr>
        <w:t xml:space="preserve"> ao texto da citada Lei Municipal nº </w:t>
      </w:r>
      <w:r w:rsidRPr="00C77509">
        <w:rPr>
          <w:rFonts w:ascii="Book Antiqua" w:hAnsi="Book Antiqua"/>
          <w:sz w:val="25"/>
          <w:szCs w:val="25"/>
        </w:rPr>
        <w:t>4.016/12,</w:t>
      </w:r>
      <w:r w:rsidR="00BE5B15" w:rsidRPr="00C77509">
        <w:rPr>
          <w:rFonts w:ascii="Book Antiqua" w:hAnsi="Book Antiqua"/>
          <w:sz w:val="25"/>
          <w:szCs w:val="25"/>
        </w:rPr>
        <w:t xml:space="preserve"> </w:t>
      </w:r>
      <w:r w:rsidR="002D1656" w:rsidRPr="00C77509">
        <w:rPr>
          <w:rFonts w:ascii="Book Antiqua" w:hAnsi="Book Antiqua"/>
          <w:sz w:val="25"/>
          <w:szCs w:val="25"/>
        </w:rPr>
        <w:t>foi alterado o percentual de remuneração, que passa dos atuais 70% (setenta por cento) para 50% (cinqüenta por cento), do valor cobrado alusivo a serviço idêntic</w:t>
      </w:r>
      <w:r w:rsidR="00D60982">
        <w:rPr>
          <w:rFonts w:ascii="Book Antiqua" w:hAnsi="Book Antiqua"/>
          <w:sz w:val="25"/>
          <w:szCs w:val="25"/>
        </w:rPr>
        <w:t>o, conforme tabela oficial dos C</w:t>
      </w:r>
      <w:r w:rsidR="002D1656" w:rsidRPr="00C77509">
        <w:rPr>
          <w:rFonts w:ascii="Book Antiqua" w:hAnsi="Book Antiqua"/>
          <w:sz w:val="25"/>
          <w:szCs w:val="25"/>
        </w:rPr>
        <w:t>orreios.</w:t>
      </w:r>
    </w:p>
    <w:p w:rsidR="00BE5B15" w:rsidRPr="00C77509" w:rsidRDefault="005637F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Além disso,</w:t>
      </w:r>
      <w:r w:rsidR="002D1656" w:rsidRPr="00C77509">
        <w:rPr>
          <w:rFonts w:ascii="Book Antiqua" w:hAnsi="Book Antiqua"/>
          <w:sz w:val="25"/>
          <w:szCs w:val="25"/>
        </w:rPr>
        <w:t xml:space="preserve"> foram a</w:t>
      </w:r>
      <w:r w:rsidR="00BE5B15" w:rsidRPr="00C77509">
        <w:rPr>
          <w:rFonts w:ascii="Book Antiqua" w:hAnsi="Book Antiqua"/>
          <w:sz w:val="25"/>
          <w:szCs w:val="25"/>
        </w:rPr>
        <w:t>crescidos ao projeto em análise outros dispositivos.</w:t>
      </w:r>
      <w:r w:rsidR="002004DF" w:rsidRPr="00C77509">
        <w:rPr>
          <w:rFonts w:ascii="Book Antiqua" w:hAnsi="Book Antiqua"/>
          <w:sz w:val="25"/>
          <w:szCs w:val="25"/>
        </w:rPr>
        <w:t xml:space="preserve"> </w:t>
      </w:r>
    </w:p>
    <w:p w:rsidR="002D1656" w:rsidRPr="00C77509" w:rsidRDefault="00D60982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Aborda-se.</w:t>
      </w:r>
    </w:p>
    <w:p w:rsidR="00697572" w:rsidRPr="00C77509" w:rsidRDefault="00BE5B15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O</w:t>
      </w:r>
      <w:r w:rsidR="00697572" w:rsidRPr="00C77509">
        <w:rPr>
          <w:rFonts w:ascii="Book Antiqua" w:hAnsi="Book Antiqua"/>
          <w:sz w:val="25"/>
          <w:szCs w:val="25"/>
        </w:rPr>
        <w:t xml:space="preserve"> § 3º</w:t>
      </w:r>
      <w:r w:rsidRPr="00C77509">
        <w:rPr>
          <w:rFonts w:ascii="Book Antiqua" w:hAnsi="Book Antiqua"/>
          <w:sz w:val="25"/>
          <w:szCs w:val="25"/>
        </w:rPr>
        <w:t xml:space="preserve"> - agora sob nova redação -</w:t>
      </w:r>
      <w:r w:rsidR="00697572" w:rsidRPr="00C77509">
        <w:rPr>
          <w:rFonts w:ascii="Book Antiqua" w:hAnsi="Book Antiqua"/>
          <w:sz w:val="25"/>
          <w:szCs w:val="25"/>
        </w:rPr>
        <w:t xml:space="preserve"> diz que os servidores interessados e escolhidos, conforme menciona esta Lei, deverão, obrigatoriamente, após a entrega dos carnês do IPTU, apresentar à Secretaria Municipal de Fazenda todos os comprovantes de recebimento dos referidos carnês, devidamente assinado pelo destinatário.</w:t>
      </w:r>
    </w:p>
    <w:p w:rsidR="00BE5B15" w:rsidRPr="00C77509" w:rsidRDefault="00BE5B15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No artigo 3º, foi incluído o inciso III, segundo o qual o serviço de que trata a lei não poderá ser terceirizado e/ou repassado, em hipótese alguma, para qualquer pessoa, parente e/ou servidor público, acrescentando, ainda, o parágrafo único, segundo o qual “o servidor responsável pela entrega dos carnês do IPTU, que descumprirem</w:t>
      </w:r>
      <w:r w:rsidR="00F72A9F" w:rsidRPr="00C77509">
        <w:rPr>
          <w:rFonts w:ascii="Book Antiqua" w:hAnsi="Book Antiqua"/>
          <w:sz w:val="25"/>
          <w:szCs w:val="25"/>
        </w:rPr>
        <w:t xml:space="preserve"> (</w:t>
      </w:r>
      <w:r w:rsidR="00F72A9F" w:rsidRPr="00C77509">
        <w:rPr>
          <w:rFonts w:ascii="Book Antiqua" w:hAnsi="Book Antiqua"/>
          <w:i/>
          <w:sz w:val="25"/>
          <w:szCs w:val="25"/>
        </w:rPr>
        <w:t>sic</w:t>
      </w:r>
      <w:r w:rsidR="00F72A9F" w:rsidRPr="00C77509">
        <w:rPr>
          <w:rFonts w:ascii="Book Antiqua" w:hAnsi="Book Antiqua"/>
          <w:sz w:val="25"/>
          <w:szCs w:val="25"/>
        </w:rPr>
        <w:t>)</w:t>
      </w:r>
      <w:r w:rsidRPr="00C77509">
        <w:rPr>
          <w:rFonts w:ascii="Book Antiqua" w:hAnsi="Book Antiqua"/>
          <w:sz w:val="25"/>
          <w:szCs w:val="25"/>
        </w:rPr>
        <w:t xml:space="preserve"> o disposto nos incisos II e III deste artigo, não receberão a gratificação de que trata esta lei, sendo ainda, seu nome excluído para a entrega dos carnês do próximo ano”.</w:t>
      </w:r>
    </w:p>
    <w:p w:rsidR="00B32A89" w:rsidRPr="00C77509" w:rsidRDefault="00B32A8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As matérias consignadas no texto da proposição, especialmente no tocante à preferência nela consignada quanto aos agentes comunitários do Programa ESF – Estratégia de Saúde da Família, lotados no </w:t>
      </w:r>
      <w:r w:rsidRPr="00C77509">
        <w:rPr>
          <w:rFonts w:ascii="Book Antiqua" w:hAnsi="Book Antiqua"/>
          <w:sz w:val="25"/>
          <w:szCs w:val="25"/>
        </w:rPr>
        <w:lastRenderedPageBreak/>
        <w:t>âmbito da</w:t>
      </w:r>
      <w:r w:rsidR="00F72A9F" w:rsidRPr="00C77509">
        <w:rPr>
          <w:rFonts w:ascii="Book Antiqua" w:hAnsi="Book Antiqua"/>
          <w:sz w:val="25"/>
          <w:szCs w:val="25"/>
        </w:rPr>
        <w:t xml:space="preserve"> Secretaria Municipal de Saúde, materializa</w:t>
      </w:r>
      <w:r w:rsidRPr="00C77509">
        <w:rPr>
          <w:rFonts w:ascii="Book Antiqua" w:hAnsi="Book Antiqua"/>
          <w:sz w:val="25"/>
          <w:szCs w:val="25"/>
        </w:rPr>
        <w:t xml:space="preserve"> a oportunidade e conveniência d</w:t>
      </w:r>
      <w:r w:rsidR="00F72A9F" w:rsidRPr="00C77509">
        <w:rPr>
          <w:rFonts w:ascii="Book Antiqua" w:hAnsi="Book Antiqua"/>
          <w:sz w:val="25"/>
          <w:szCs w:val="25"/>
        </w:rPr>
        <w:t>a gestão pública</w:t>
      </w:r>
      <w:r w:rsidRPr="00C77509">
        <w:rPr>
          <w:rFonts w:ascii="Book Antiqua" w:hAnsi="Book Antiqua"/>
          <w:sz w:val="25"/>
          <w:szCs w:val="25"/>
        </w:rPr>
        <w:t xml:space="preserve">, </w:t>
      </w:r>
      <w:r w:rsidR="00F72A9F" w:rsidRPr="00C77509">
        <w:rPr>
          <w:rFonts w:ascii="Book Antiqua" w:hAnsi="Book Antiqua"/>
          <w:sz w:val="25"/>
          <w:szCs w:val="25"/>
        </w:rPr>
        <w:t>alicerçada na</w:t>
      </w:r>
      <w:r w:rsidRPr="00C77509">
        <w:rPr>
          <w:rFonts w:ascii="Book Antiqua" w:hAnsi="Book Antiqua"/>
          <w:sz w:val="25"/>
          <w:szCs w:val="25"/>
        </w:rPr>
        <w:t xml:space="preserve"> justificativa apresentada na Mensagem.</w:t>
      </w:r>
      <w:r w:rsidR="007A5E67" w:rsidRPr="00C77509">
        <w:rPr>
          <w:rFonts w:ascii="Book Antiqua" w:hAnsi="Book Antiqua"/>
          <w:sz w:val="25"/>
          <w:szCs w:val="25"/>
        </w:rPr>
        <w:t xml:space="preserve"> Esta questão já foi dissecada no corpo deste parecer.</w:t>
      </w:r>
    </w:p>
    <w:p w:rsidR="00BE5B15" w:rsidRPr="00C77509" w:rsidRDefault="00BE5B15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Portanto,</w:t>
      </w:r>
      <w:r w:rsidR="007A5E67" w:rsidRPr="00C77509">
        <w:rPr>
          <w:rFonts w:ascii="Book Antiqua" w:hAnsi="Book Antiqua"/>
          <w:sz w:val="25"/>
          <w:szCs w:val="25"/>
        </w:rPr>
        <w:t xml:space="preserve"> </w:t>
      </w:r>
      <w:r w:rsidR="007A5E67" w:rsidRPr="00C77509">
        <w:rPr>
          <w:rFonts w:ascii="Book Antiqua" w:hAnsi="Book Antiqua"/>
          <w:b/>
          <w:sz w:val="25"/>
          <w:szCs w:val="25"/>
          <w:u w:val="single"/>
        </w:rPr>
        <w:t xml:space="preserve">ressalvando a recomendação de apresentação de Substitutivo ou devolução do Projeto do Poder Executivo, como demonstrado no item </w:t>
      </w:r>
      <w:r w:rsidR="00487A41">
        <w:rPr>
          <w:rFonts w:ascii="Book Antiqua" w:hAnsi="Book Antiqua"/>
          <w:b/>
          <w:sz w:val="25"/>
          <w:szCs w:val="25"/>
          <w:u w:val="single"/>
        </w:rPr>
        <w:t>2.2</w:t>
      </w:r>
      <w:r w:rsidRPr="00C77509">
        <w:rPr>
          <w:rFonts w:ascii="Book Antiqua" w:hAnsi="Book Antiqua"/>
          <w:b/>
          <w:sz w:val="25"/>
          <w:szCs w:val="25"/>
          <w:u w:val="single"/>
        </w:rPr>
        <w:t xml:space="preserve"> </w:t>
      </w:r>
      <w:r w:rsidR="007A5E67" w:rsidRPr="00C77509">
        <w:rPr>
          <w:rFonts w:ascii="Book Antiqua" w:hAnsi="Book Antiqua"/>
          <w:b/>
          <w:sz w:val="25"/>
          <w:szCs w:val="25"/>
          <w:u w:val="single"/>
        </w:rPr>
        <w:t>deste parecer</w:t>
      </w:r>
      <w:r w:rsidR="007A5E67" w:rsidRPr="00C77509">
        <w:rPr>
          <w:rFonts w:ascii="Book Antiqua" w:hAnsi="Book Antiqua"/>
          <w:sz w:val="25"/>
          <w:szCs w:val="25"/>
        </w:rPr>
        <w:t xml:space="preserve">, </w:t>
      </w:r>
      <w:r w:rsidR="00A56784" w:rsidRPr="00C77509">
        <w:rPr>
          <w:rFonts w:ascii="Book Antiqua" w:hAnsi="Book Antiqua"/>
          <w:sz w:val="25"/>
          <w:szCs w:val="25"/>
        </w:rPr>
        <w:t xml:space="preserve">dúvida não se tem que </w:t>
      </w:r>
      <w:r w:rsidRPr="00C77509">
        <w:rPr>
          <w:rFonts w:ascii="Book Antiqua" w:hAnsi="Book Antiqua"/>
          <w:sz w:val="25"/>
          <w:szCs w:val="25"/>
        </w:rPr>
        <w:t xml:space="preserve">do ponto de vista legal e constitucional, não </w:t>
      </w:r>
      <w:r w:rsidR="007A5E67" w:rsidRPr="00C77509">
        <w:rPr>
          <w:rFonts w:ascii="Book Antiqua" w:hAnsi="Book Antiqua"/>
          <w:sz w:val="25"/>
          <w:szCs w:val="25"/>
        </w:rPr>
        <w:t>há qualquer impedimento quanto ao conhecimento e votação dos nobres edis quanto aos textos que se pretende alterar, modificar ou acrescer em relação ao previsto na Lei 4.016/2012, desde que se considere as emendas que são sugeridas, conforme seguem.</w:t>
      </w:r>
    </w:p>
    <w:p w:rsidR="007A5E67" w:rsidRPr="00C77509" w:rsidRDefault="007A5E67" w:rsidP="007A5E67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4 - DA RECOMENDAÇÃO DE REDAÇÃO DE EMENDAS, CUJOS TEXTOS PODERÃO SER APROVEITADOS POR OCASIÃO DA REDAÇÃO DO SUBSTITUTIVO OU DE UM NOVO PROJETO DE LEI PELO EXECUTIVO.</w:t>
      </w:r>
    </w:p>
    <w:p w:rsidR="00BE5B15" w:rsidRPr="00C77509" w:rsidRDefault="007A5E6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E</w:t>
      </w:r>
      <w:r w:rsidR="00B32A89" w:rsidRPr="00C77509">
        <w:rPr>
          <w:rFonts w:ascii="Book Antiqua" w:hAnsi="Book Antiqua"/>
          <w:b/>
          <w:sz w:val="25"/>
          <w:szCs w:val="25"/>
        </w:rPr>
        <w:t>sta</w:t>
      </w:r>
      <w:r w:rsidR="00B32A89" w:rsidRPr="00C77509">
        <w:rPr>
          <w:rFonts w:ascii="Book Antiqua" w:hAnsi="Book Antiqua"/>
          <w:sz w:val="25"/>
          <w:szCs w:val="25"/>
        </w:rPr>
        <w:t xml:space="preserve"> assessoria jurídica faz recomendações no sentido de que alguns dispositivos do projeto de lei em análise devem ser objeto de emendas, na forma regimental,</w:t>
      </w:r>
      <w:r w:rsidR="00D12C30" w:rsidRPr="00C77509">
        <w:rPr>
          <w:rFonts w:ascii="Book Antiqua" w:hAnsi="Book Antiqua"/>
          <w:sz w:val="25"/>
          <w:szCs w:val="25"/>
        </w:rPr>
        <w:t xml:space="preserve"> que poderão ser aproveitas no Substitutivo proposto e recomendado,</w:t>
      </w:r>
      <w:r w:rsidR="00446556" w:rsidRPr="00C77509">
        <w:rPr>
          <w:rFonts w:ascii="Book Antiqua" w:hAnsi="Book Antiqua"/>
          <w:sz w:val="25"/>
          <w:szCs w:val="25"/>
        </w:rPr>
        <w:t xml:space="preserve"> para adequação do</w:t>
      </w:r>
      <w:r w:rsidR="00D12C30" w:rsidRPr="00C77509">
        <w:rPr>
          <w:rFonts w:ascii="Book Antiqua" w:hAnsi="Book Antiqua"/>
          <w:sz w:val="25"/>
          <w:szCs w:val="25"/>
        </w:rPr>
        <w:t>s respectivos</w:t>
      </w:r>
      <w:r w:rsidR="00446556" w:rsidRPr="00C77509">
        <w:rPr>
          <w:rFonts w:ascii="Book Antiqua" w:hAnsi="Book Antiqua"/>
          <w:sz w:val="25"/>
          <w:szCs w:val="25"/>
        </w:rPr>
        <w:t xml:space="preserve"> texto</w:t>
      </w:r>
      <w:r w:rsidR="00D12C30" w:rsidRPr="00C77509">
        <w:rPr>
          <w:rFonts w:ascii="Book Antiqua" w:hAnsi="Book Antiqua"/>
          <w:sz w:val="25"/>
          <w:szCs w:val="25"/>
        </w:rPr>
        <w:t>s à boa aplicação d</w:t>
      </w:r>
      <w:r w:rsidR="00446556" w:rsidRPr="00C77509">
        <w:rPr>
          <w:rFonts w:ascii="Book Antiqua" w:hAnsi="Book Antiqua"/>
          <w:sz w:val="25"/>
          <w:szCs w:val="25"/>
        </w:rPr>
        <w:t>as regras gramaticais,</w:t>
      </w:r>
      <w:r w:rsidR="00CC45FF" w:rsidRPr="00C77509">
        <w:rPr>
          <w:rFonts w:ascii="Book Antiqua" w:hAnsi="Book Antiqua"/>
          <w:sz w:val="25"/>
          <w:szCs w:val="25"/>
        </w:rPr>
        <w:t xml:space="preserve"> ao aclaramento,</w:t>
      </w:r>
      <w:r w:rsidR="00B32A89" w:rsidRPr="00C77509">
        <w:rPr>
          <w:rFonts w:ascii="Book Antiqua" w:hAnsi="Book Antiqua"/>
          <w:sz w:val="25"/>
          <w:szCs w:val="25"/>
        </w:rPr>
        <w:t xml:space="preserve"> inclusive quanto à redação final, obse</w:t>
      </w:r>
      <w:r w:rsidR="00CC45FF" w:rsidRPr="00C77509">
        <w:rPr>
          <w:rFonts w:ascii="Book Antiqua" w:hAnsi="Book Antiqua"/>
          <w:sz w:val="25"/>
          <w:szCs w:val="25"/>
        </w:rPr>
        <w:t xml:space="preserve">rvada a boa técnica legislativa, </w:t>
      </w:r>
      <w:r w:rsidR="00446556" w:rsidRPr="00C77509">
        <w:rPr>
          <w:rFonts w:ascii="Book Antiqua" w:hAnsi="Book Antiqua"/>
          <w:sz w:val="25"/>
          <w:szCs w:val="25"/>
        </w:rPr>
        <w:t>visando a</w:t>
      </w:r>
      <w:r w:rsidR="00CC45FF" w:rsidRPr="00C77509">
        <w:rPr>
          <w:rFonts w:ascii="Book Antiqua" w:hAnsi="Book Antiqua"/>
          <w:sz w:val="25"/>
          <w:szCs w:val="25"/>
        </w:rPr>
        <w:t xml:space="preserve"> melhor compreensão do intérprete da eventual norma de direito positivo, se aprovada a proposta.</w:t>
      </w:r>
    </w:p>
    <w:p w:rsidR="00B32A89" w:rsidRPr="00C77509" w:rsidRDefault="00B32A8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Aponta-se em tópico específico.</w:t>
      </w:r>
    </w:p>
    <w:p w:rsidR="00D81917" w:rsidRPr="00C77509" w:rsidRDefault="00D8191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O § 1º do artigo 2º se apresenta, com todo respeito, com redação confusa e gramaticalmente incorreta, pelo que sugerimos a seguinte modificação</w:t>
      </w:r>
      <w:r w:rsidR="00113E5D" w:rsidRPr="00C77509">
        <w:rPr>
          <w:rFonts w:ascii="Book Antiqua" w:hAnsi="Book Antiqua"/>
          <w:sz w:val="25"/>
          <w:szCs w:val="25"/>
        </w:rPr>
        <w:t xml:space="preserve"> através de emenda específica, na forma regimental</w:t>
      </w:r>
      <w:r w:rsidRPr="00C77509">
        <w:rPr>
          <w:rFonts w:ascii="Book Antiqua" w:hAnsi="Book Antiqua"/>
          <w:sz w:val="25"/>
          <w:szCs w:val="25"/>
        </w:rPr>
        <w:t>:</w:t>
      </w:r>
    </w:p>
    <w:p w:rsidR="00D81917" w:rsidRPr="00C77509" w:rsidRDefault="00D81917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“Art. 2º ............</w:t>
      </w:r>
      <w:r w:rsidR="00423C85" w:rsidRPr="00C77509">
        <w:rPr>
          <w:rFonts w:ascii="Book Antiqua" w:hAnsi="Book Antiqua"/>
          <w:sz w:val="25"/>
          <w:szCs w:val="25"/>
        </w:rPr>
        <w:t>..........................</w:t>
      </w:r>
      <w:r w:rsidR="005C0E44" w:rsidRPr="00C77509">
        <w:rPr>
          <w:rFonts w:ascii="Book Antiqua" w:hAnsi="Book Antiqua"/>
          <w:sz w:val="25"/>
          <w:szCs w:val="25"/>
        </w:rPr>
        <w:t>......................</w:t>
      </w:r>
      <w:r w:rsidR="00705323">
        <w:rPr>
          <w:rFonts w:ascii="Book Antiqua" w:hAnsi="Book Antiqua"/>
          <w:sz w:val="25"/>
          <w:szCs w:val="25"/>
        </w:rPr>
        <w:t>........</w:t>
      </w:r>
      <w:r w:rsidR="005637F7" w:rsidRPr="00C77509">
        <w:rPr>
          <w:rFonts w:ascii="Book Antiqua" w:hAnsi="Book Antiqua"/>
          <w:sz w:val="25"/>
          <w:szCs w:val="25"/>
        </w:rPr>
        <w:t>....</w:t>
      </w:r>
      <w:r w:rsidR="00265541" w:rsidRPr="00C77509">
        <w:rPr>
          <w:rFonts w:ascii="Book Antiqua" w:hAnsi="Book Antiqua"/>
          <w:sz w:val="25"/>
          <w:szCs w:val="25"/>
        </w:rPr>
        <w:t>...</w:t>
      </w:r>
    </w:p>
    <w:p w:rsidR="00D81917" w:rsidRPr="00C77509" w:rsidRDefault="00D81917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§ 1º Terão preferência na execução da prestação do serviço</w:t>
      </w:r>
      <w:r w:rsidR="00EA172B" w:rsidRPr="00C77509">
        <w:rPr>
          <w:rFonts w:ascii="Book Antiqua" w:hAnsi="Book Antiqua"/>
          <w:sz w:val="25"/>
          <w:szCs w:val="25"/>
        </w:rPr>
        <w:t>,</w:t>
      </w:r>
      <w:r w:rsidRPr="00C77509">
        <w:rPr>
          <w:rFonts w:ascii="Book Antiqua" w:hAnsi="Book Antiqua"/>
          <w:sz w:val="25"/>
          <w:szCs w:val="25"/>
        </w:rPr>
        <w:t xml:space="preserve"> os servidores que exercem a função de agente comunitário do Programa Estratégia de Saúde da Família – ESF, lotados no âmbito da Secretaria Municipal de Saúde.</w:t>
      </w:r>
      <w:r w:rsidR="00113E5D" w:rsidRPr="00C77509">
        <w:rPr>
          <w:rFonts w:ascii="Book Antiqua" w:hAnsi="Book Antiqua"/>
          <w:sz w:val="25"/>
          <w:szCs w:val="25"/>
        </w:rPr>
        <w:t>”</w:t>
      </w:r>
    </w:p>
    <w:p w:rsidR="00D81917" w:rsidRPr="00C77509" w:rsidRDefault="00D8191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lastRenderedPageBreak/>
        <w:t>Recomendamos a modificação da redação do § 4º do artigo 2º, pois ao fazer referência a edital de chamamento de que trata o parágrafo anterior, verifica-se aí equívoco, pois o parágrafo anterior não faz referência ao citado edital, mas</w:t>
      </w:r>
      <w:r w:rsidR="003F6B3F" w:rsidRPr="00C77509">
        <w:rPr>
          <w:rFonts w:ascii="Book Antiqua" w:hAnsi="Book Antiqua"/>
          <w:sz w:val="25"/>
          <w:szCs w:val="25"/>
        </w:rPr>
        <w:t xml:space="preserve"> sim</w:t>
      </w:r>
      <w:r w:rsidRPr="00C77509">
        <w:rPr>
          <w:rFonts w:ascii="Book Antiqua" w:hAnsi="Book Antiqua"/>
          <w:sz w:val="25"/>
          <w:szCs w:val="25"/>
        </w:rPr>
        <w:t xml:space="preserve"> o </w:t>
      </w:r>
      <w:r w:rsidRPr="00C77509">
        <w:rPr>
          <w:rFonts w:ascii="Book Antiqua" w:hAnsi="Book Antiqua"/>
          <w:sz w:val="25"/>
          <w:szCs w:val="25"/>
          <w:u w:val="single"/>
        </w:rPr>
        <w:t>caput</w:t>
      </w:r>
      <w:r w:rsidRPr="00C77509">
        <w:rPr>
          <w:rFonts w:ascii="Book Antiqua" w:hAnsi="Book Antiqua"/>
          <w:sz w:val="25"/>
          <w:szCs w:val="25"/>
        </w:rPr>
        <w:t xml:space="preserve"> do mesmo artigo, ensejando a proposta de modificação do texto original, nos seguintes termos:</w:t>
      </w:r>
    </w:p>
    <w:p w:rsidR="00D81917" w:rsidRPr="00C77509" w:rsidRDefault="00D81917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“Art. 2º ..........</w:t>
      </w:r>
      <w:r w:rsidR="005C0E44" w:rsidRPr="00C77509">
        <w:rPr>
          <w:rFonts w:ascii="Book Antiqua" w:hAnsi="Book Antiqua"/>
          <w:sz w:val="25"/>
          <w:szCs w:val="25"/>
        </w:rPr>
        <w:t>......................................................</w:t>
      </w:r>
      <w:r w:rsidR="00265541" w:rsidRPr="00C77509">
        <w:rPr>
          <w:rFonts w:ascii="Book Antiqua" w:hAnsi="Book Antiqua"/>
          <w:sz w:val="25"/>
          <w:szCs w:val="25"/>
        </w:rPr>
        <w:t>...</w:t>
      </w:r>
      <w:r w:rsidR="00705323">
        <w:rPr>
          <w:rFonts w:ascii="Book Antiqua" w:hAnsi="Book Antiqua"/>
          <w:sz w:val="25"/>
          <w:szCs w:val="25"/>
        </w:rPr>
        <w:t>........</w:t>
      </w:r>
    </w:p>
    <w:p w:rsidR="00CC45FF" w:rsidRPr="00C77509" w:rsidRDefault="00D81917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§ 4º O edital de chamamento de que trata o </w:t>
      </w:r>
      <w:r w:rsidRPr="00C77509">
        <w:rPr>
          <w:rFonts w:ascii="Book Antiqua" w:hAnsi="Book Antiqua"/>
          <w:b/>
          <w:i/>
          <w:sz w:val="25"/>
          <w:szCs w:val="25"/>
        </w:rPr>
        <w:t>caput</w:t>
      </w:r>
      <w:r w:rsidRPr="00C77509">
        <w:rPr>
          <w:rFonts w:ascii="Book Antiqua" w:hAnsi="Book Antiqua"/>
          <w:sz w:val="25"/>
          <w:szCs w:val="25"/>
        </w:rPr>
        <w:t xml:space="preserve"> deste artigo, será publicado em todas as repartições municipais, devendo nele constar obrigatoriamente o seguinte:” </w:t>
      </w:r>
    </w:p>
    <w:p w:rsidR="00113E5D" w:rsidRPr="00C77509" w:rsidRDefault="00113E5D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O inciso III do artigo 3º deve ser modificado para que seja retirada a expressão “e/ou”, para constar somente o “ou”, tendo em vista que a boa técnica legislativa não a recomenda, conforme adverte o jurista Jorge José da Costa</w:t>
      </w:r>
      <w:r w:rsidR="00CB78BB" w:rsidRPr="00C77509">
        <w:rPr>
          <w:rStyle w:val="Refdenotaderodap"/>
          <w:rFonts w:ascii="Book Antiqua" w:hAnsi="Book Antiqua"/>
          <w:sz w:val="25"/>
          <w:szCs w:val="25"/>
        </w:rPr>
        <w:footnoteReference w:id="4"/>
      </w:r>
      <w:r w:rsidRPr="00C77509">
        <w:rPr>
          <w:rFonts w:ascii="Book Antiqua" w:hAnsi="Book Antiqua"/>
          <w:sz w:val="25"/>
          <w:szCs w:val="25"/>
        </w:rPr>
        <w:t>:</w:t>
      </w:r>
    </w:p>
    <w:p w:rsidR="00113E5D" w:rsidRPr="00C77509" w:rsidRDefault="00113E5D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“Uma imprecisão que vem se alastrando nos textos legais é a utilização da expressão “e/ou”. </w:t>
      </w:r>
    </w:p>
    <w:p w:rsidR="00EA172B" w:rsidRPr="00C77509" w:rsidRDefault="00EA172B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(...)</w:t>
      </w:r>
    </w:p>
    <w:p w:rsidR="00113E5D" w:rsidRPr="00C77509" w:rsidRDefault="00113E5D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Registre-se que </w:t>
      </w:r>
      <w:r w:rsidRPr="00C77509">
        <w:rPr>
          <w:rFonts w:ascii="Book Antiqua" w:hAnsi="Book Antiqua"/>
          <w:b/>
          <w:sz w:val="25"/>
          <w:szCs w:val="25"/>
        </w:rPr>
        <w:t>a expressão “e/ou” não é a forma adequada de expressar-se, em termos jurídicos, em nenhuma das manifestações assumidas pelo direito</w:t>
      </w:r>
      <w:r w:rsidRPr="00C77509">
        <w:rPr>
          <w:rFonts w:ascii="Book Antiqua" w:hAnsi="Book Antiqua"/>
          <w:sz w:val="25"/>
          <w:szCs w:val="25"/>
        </w:rPr>
        <w:t>. A razão da aversão do direito a essa forma, deve-se ao fato de ela encerrar uma contradição lógica.</w:t>
      </w:r>
    </w:p>
    <w:p w:rsidR="00113E5D" w:rsidRPr="00C77509" w:rsidRDefault="00113E5D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 palavra “e” pode expressar uma relação. Quando ela expressa uma relação, os termos do texto legal, por ela ligados, terão existência simultânea e não excludentes.</w:t>
      </w:r>
    </w:p>
    <w:p w:rsidR="00113E5D" w:rsidRPr="00C77509" w:rsidRDefault="00113E5D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A palavra “ou” indica que os termos por ela ligados podem ter existência simultânea, excludente ou não. Em outras palavras, as ocorrências descritas podem </w:t>
      </w:r>
      <w:r w:rsidRPr="00C77509">
        <w:rPr>
          <w:rFonts w:ascii="Book Antiqua" w:hAnsi="Book Antiqua"/>
          <w:sz w:val="25"/>
          <w:szCs w:val="25"/>
        </w:rPr>
        <w:lastRenderedPageBreak/>
        <w:t>ser excludentes: se uma ocorrer, a outra não ocorrerá; ou podem ocorrer eventualmente simultaneamente.</w:t>
      </w:r>
    </w:p>
    <w:p w:rsidR="00113E5D" w:rsidRPr="00C77509" w:rsidRDefault="00CB78BB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A contradição lógica reside no fato de, ao usar a expressão “e/ou”, dizer-se que os termos ligados por ela terão existência simultânea e não excludente e, ao mesmo tempo, poderão ter existência excludente.</w:t>
      </w:r>
      <w:r w:rsidR="00BC4041" w:rsidRPr="00C77509">
        <w:rPr>
          <w:rFonts w:ascii="Book Antiqua" w:hAnsi="Book Antiqua"/>
          <w:sz w:val="25"/>
          <w:szCs w:val="25"/>
        </w:rPr>
        <w:t>” - negritei</w:t>
      </w:r>
    </w:p>
    <w:p w:rsidR="00113E5D" w:rsidRPr="00C77509" w:rsidRDefault="00BC4041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Diante da orientação técnica jurídica e doutrinária mencionada</w:t>
      </w:r>
      <w:r w:rsidR="00113E5D" w:rsidRPr="00C77509">
        <w:rPr>
          <w:rFonts w:ascii="Book Antiqua" w:hAnsi="Book Antiqua"/>
          <w:sz w:val="25"/>
          <w:szCs w:val="25"/>
        </w:rPr>
        <w:t xml:space="preserve">, </w:t>
      </w:r>
      <w:r w:rsidRPr="00C77509">
        <w:rPr>
          <w:rFonts w:ascii="Book Antiqua" w:hAnsi="Book Antiqua"/>
          <w:sz w:val="25"/>
          <w:szCs w:val="25"/>
        </w:rPr>
        <w:t xml:space="preserve">sugerimos que </w:t>
      </w:r>
      <w:r w:rsidR="00113E5D" w:rsidRPr="00C77509">
        <w:rPr>
          <w:rFonts w:ascii="Book Antiqua" w:hAnsi="Book Antiqua"/>
          <w:sz w:val="25"/>
          <w:szCs w:val="25"/>
        </w:rPr>
        <w:t xml:space="preserve">a redação final </w:t>
      </w:r>
      <w:r w:rsidRPr="00C77509">
        <w:rPr>
          <w:rFonts w:ascii="Book Antiqua" w:hAnsi="Book Antiqua"/>
          <w:sz w:val="25"/>
          <w:szCs w:val="25"/>
        </w:rPr>
        <w:t>do dispositivo em comento deverá constar da seguinte forma:</w:t>
      </w:r>
    </w:p>
    <w:p w:rsidR="00BC4041" w:rsidRPr="00C77509" w:rsidRDefault="002D1656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“Art. 3º ...........</w:t>
      </w:r>
      <w:r w:rsidR="00BC4041" w:rsidRPr="00C77509">
        <w:rPr>
          <w:rFonts w:ascii="Book Antiqua" w:hAnsi="Book Antiqua"/>
          <w:sz w:val="25"/>
          <w:szCs w:val="25"/>
        </w:rPr>
        <w:t>............................</w:t>
      </w:r>
      <w:r w:rsidR="00C165BA">
        <w:rPr>
          <w:rFonts w:ascii="Book Antiqua" w:hAnsi="Book Antiqua"/>
          <w:sz w:val="25"/>
          <w:szCs w:val="25"/>
        </w:rPr>
        <w:t>....</w:t>
      </w:r>
      <w:r w:rsidR="00BC4041" w:rsidRPr="00C77509">
        <w:rPr>
          <w:rFonts w:ascii="Book Antiqua" w:hAnsi="Book Antiqua"/>
          <w:sz w:val="25"/>
          <w:szCs w:val="25"/>
        </w:rPr>
        <w:t>............................</w:t>
      </w:r>
      <w:r w:rsidR="00705323">
        <w:rPr>
          <w:rFonts w:ascii="Book Antiqua" w:hAnsi="Book Antiqua"/>
          <w:sz w:val="25"/>
          <w:szCs w:val="25"/>
        </w:rPr>
        <w:t>.....</w:t>
      </w:r>
    </w:p>
    <w:p w:rsidR="00BC4041" w:rsidRPr="00C77509" w:rsidRDefault="00BC4041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III – ser terceirizado ou repassado, em hipótese alguma, para qualquer pessoa, ainda que parente de qualquer grau, ou outro servidor público.”</w:t>
      </w:r>
    </w:p>
    <w:p w:rsidR="00BC4041" w:rsidRPr="00C77509" w:rsidRDefault="00BC4041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Ainda em relação ao artigo 3º, </w:t>
      </w:r>
      <w:r w:rsidRPr="00C77509">
        <w:rPr>
          <w:rFonts w:ascii="Book Antiqua" w:hAnsi="Book Antiqua"/>
          <w:sz w:val="25"/>
          <w:szCs w:val="25"/>
          <w:u w:val="single"/>
        </w:rPr>
        <w:t>para efeito de redação final</w:t>
      </w:r>
      <w:r w:rsidRPr="00C77509">
        <w:rPr>
          <w:rFonts w:ascii="Book Antiqua" w:hAnsi="Book Antiqua"/>
          <w:sz w:val="25"/>
          <w:szCs w:val="25"/>
        </w:rPr>
        <w:t xml:space="preserve">, os demais incisos (I e II) nele constantes deverão se iniciar com a letra minúscula, para fins de adequação à boa técnica legislativa. </w:t>
      </w:r>
    </w:p>
    <w:p w:rsidR="00BC4041" w:rsidRPr="00C77509" w:rsidRDefault="00BC4041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Quanto ao parágrafo único nele constante,</w:t>
      </w:r>
      <w:r w:rsidR="004B6000" w:rsidRPr="00C77509">
        <w:rPr>
          <w:rFonts w:ascii="Book Antiqua" w:hAnsi="Book Antiqua"/>
          <w:sz w:val="25"/>
          <w:szCs w:val="25"/>
        </w:rPr>
        <w:t xml:space="preserve"> com todo respeito,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4B6000" w:rsidRPr="00C77509">
        <w:rPr>
          <w:rFonts w:ascii="Book Antiqua" w:hAnsi="Book Antiqua"/>
          <w:sz w:val="25"/>
          <w:szCs w:val="25"/>
        </w:rPr>
        <w:t xml:space="preserve">a despeito da sua pertinência, </w:t>
      </w:r>
      <w:r w:rsidRPr="00C77509">
        <w:rPr>
          <w:rFonts w:ascii="Book Antiqua" w:hAnsi="Book Antiqua"/>
          <w:sz w:val="25"/>
          <w:szCs w:val="25"/>
        </w:rPr>
        <w:t>verifica-se incorreção de concordância</w:t>
      </w:r>
      <w:r w:rsidR="005637F7" w:rsidRPr="00C77509">
        <w:rPr>
          <w:rFonts w:ascii="Book Antiqua" w:hAnsi="Book Antiqua"/>
          <w:sz w:val="25"/>
          <w:szCs w:val="25"/>
        </w:rPr>
        <w:t xml:space="preserve"> verbal</w:t>
      </w:r>
      <w:r w:rsidRPr="00C77509">
        <w:rPr>
          <w:rFonts w:ascii="Book Antiqua" w:hAnsi="Book Antiqua"/>
          <w:sz w:val="25"/>
          <w:szCs w:val="25"/>
        </w:rPr>
        <w:t>, quando diz</w:t>
      </w:r>
      <w:r w:rsidR="00423C85" w:rsidRPr="00C77509">
        <w:rPr>
          <w:rFonts w:ascii="Book Antiqua" w:hAnsi="Book Antiqua"/>
          <w:sz w:val="25"/>
          <w:szCs w:val="25"/>
        </w:rPr>
        <w:t xml:space="preserve"> o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Pr="00C77509">
        <w:rPr>
          <w:rFonts w:ascii="Book Antiqua" w:hAnsi="Book Antiqua"/>
          <w:sz w:val="25"/>
          <w:szCs w:val="25"/>
          <w:u w:val="single"/>
        </w:rPr>
        <w:t>servidor responsável</w:t>
      </w:r>
      <w:r w:rsidRPr="00C77509">
        <w:rPr>
          <w:rFonts w:ascii="Book Antiqua" w:hAnsi="Book Antiqua"/>
          <w:sz w:val="25"/>
          <w:szCs w:val="25"/>
        </w:rPr>
        <w:t xml:space="preserve"> (...)</w:t>
      </w:r>
      <w:r w:rsidR="004B6000" w:rsidRPr="00C77509">
        <w:rPr>
          <w:rFonts w:ascii="Book Antiqua" w:hAnsi="Book Antiqua"/>
          <w:sz w:val="25"/>
          <w:szCs w:val="25"/>
        </w:rPr>
        <w:t xml:space="preserve"> que descumprir</w:t>
      </w:r>
      <w:r w:rsidR="004B6000" w:rsidRPr="00C77509">
        <w:rPr>
          <w:rFonts w:ascii="Book Antiqua" w:hAnsi="Book Antiqua"/>
          <w:b/>
          <w:sz w:val="25"/>
          <w:szCs w:val="25"/>
          <w:u w:val="single"/>
        </w:rPr>
        <w:t>em</w:t>
      </w:r>
      <w:r w:rsidRPr="00C77509">
        <w:rPr>
          <w:rFonts w:ascii="Book Antiqua" w:hAnsi="Book Antiqua"/>
          <w:sz w:val="25"/>
          <w:szCs w:val="25"/>
        </w:rPr>
        <w:t xml:space="preserve"> não </w:t>
      </w:r>
      <w:r w:rsidRPr="00C77509">
        <w:rPr>
          <w:rFonts w:ascii="Book Antiqua" w:hAnsi="Book Antiqua"/>
          <w:b/>
          <w:sz w:val="25"/>
          <w:szCs w:val="25"/>
        </w:rPr>
        <w:t>receberão</w:t>
      </w:r>
      <w:r w:rsidR="004B6000" w:rsidRPr="00C77509">
        <w:rPr>
          <w:rFonts w:ascii="Book Antiqua" w:hAnsi="Book Antiqua"/>
          <w:sz w:val="25"/>
          <w:szCs w:val="25"/>
        </w:rPr>
        <w:t xml:space="preserve"> (</w:t>
      </w:r>
      <w:r w:rsidR="004B6000" w:rsidRPr="00C77509">
        <w:rPr>
          <w:rFonts w:ascii="Book Antiqua" w:hAnsi="Book Antiqua"/>
          <w:i/>
          <w:sz w:val="25"/>
          <w:szCs w:val="25"/>
        </w:rPr>
        <w:t>sic</w:t>
      </w:r>
      <w:r w:rsidR="004B6000" w:rsidRPr="00C77509">
        <w:rPr>
          <w:rFonts w:ascii="Book Antiqua" w:hAnsi="Book Antiqua"/>
          <w:sz w:val="25"/>
          <w:szCs w:val="25"/>
        </w:rPr>
        <w:t>), razão pela qual é necessária a apresentação de emenda modificativa de forma a corrigi-lo. A proposta de redação é a seguinte:</w:t>
      </w:r>
    </w:p>
    <w:p w:rsidR="004B6000" w:rsidRPr="00C77509" w:rsidRDefault="002D1656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“Art. 3º .............</w:t>
      </w:r>
      <w:r w:rsidR="004B6000" w:rsidRPr="00C77509">
        <w:rPr>
          <w:rFonts w:ascii="Book Antiqua" w:hAnsi="Book Antiqua"/>
          <w:sz w:val="25"/>
          <w:szCs w:val="25"/>
        </w:rPr>
        <w:t>............................</w:t>
      </w:r>
      <w:r w:rsidR="00705323">
        <w:rPr>
          <w:rFonts w:ascii="Book Antiqua" w:hAnsi="Book Antiqua"/>
          <w:sz w:val="25"/>
          <w:szCs w:val="25"/>
        </w:rPr>
        <w:t>.....</w:t>
      </w:r>
      <w:r w:rsidR="004B6000" w:rsidRPr="00C77509">
        <w:rPr>
          <w:rFonts w:ascii="Book Antiqua" w:hAnsi="Book Antiqua"/>
          <w:sz w:val="25"/>
          <w:szCs w:val="25"/>
        </w:rPr>
        <w:t>.</w:t>
      </w:r>
      <w:r w:rsidR="00C165BA">
        <w:rPr>
          <w:rFonts w:ascii="Book Antiqua" w:hAnsi="Book Antiqua"/>
          <w:sz w:val="25"/>
          <w:szCs w:val="25"/>
        </w:rPr>
        <w:t>....</w:t>
      </w:r>
      <w:r w:rsidR="004B6000" w:rsidRPr="00C77509">
        <w:rPr>
          <w:rFonts w:ascii="Book Antiqua" w:hAnsi="Book Antiqua"/>
          <w:sz w:val="25"/>
          <w:szCs w:val="25"/>
        </w:rPr>
        <w:t>.</w:t>
      </w:r>
      <w:r w:rsidR="00D12C30" w:rsidRPr="00C77509">
        <w:rPr>
          <w:rFonts w:ascii="Book Antiqua" w:hAnsi="Book Antiqua"/>
          <w:sz w:val="25"/>
          <w:szCs w:val="25"/>
        </w:rPr>
        <w:t>........................</w:t>
      </w:r>
    </w:p>
    <w:p w:rsidR="004B6000" w:rsidRPr="00C77509" w:rsidRDefault="004B6000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Parágrafo único. O servidor responsável pela entrega dos carnês do Imposto Predial Territorial Urbano – IPTU, que descumprir o disposto nos incisos II e III deste artigo não receberá a gratificação de que trata esta lei e ficará impedido de participar do processo de seleção para entrega dos carnês do exercício seguinte.”</w:t>
      </w:r>
    </w:p>
    <w:p w:rsidR="00BA3459" w:rsidRPr="00C77509" w:rsidRDefault="00BA3459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lastRenderedPageBreak/>
        <w:t>O artigo 5º deverá ser modificado, de molde a adequar a sua redação</w:t>
      </w:r>
      <w:r w:rsidR="00D83D04" w:rsidRPr="00C77509">
        <w:rPr>
          <w:rFonts w:ascii="Book Antiqua" w:hAnsi="Book Antiqua"/>
          <w:sz w:val="25"/>
          <w:szCs w:val="25"/>
        </w:rPr>
        <w:t xml:space="preserve"> do ponto de vista gramatical</w:t>
      </w:r>
      <w:r w:rsidRPr="00C77509">
        <w:rPr>
          <w:rFonts w:ascii="Book Antiqua" w:hAnsi="Book Antiqua"/>
          <w:sz w:val="25"/>
          <w:szCs w:val="25"/>
        </w:rPr>
        <w:t>,</w:t>
      </w:r>
      <w:r w:rsidR="00D83D04" w:rsidRPr="00C77509">
        <w:rPr>
          <w:rFonts w:ascii="Book Antiqua" w:hAnsi="Book Antiqua"/>
          <w:sz w:val="25"/>
          <w:szCs w:val="25"/>
        </w:rPr>
        <w:t xml:space="preserve"> bem como dissipar a confusão nela contida,</w:t>
      </w:r>
      <w:r w:rsidRPr="00C77509">
        <w:rPr>
          <w:rFonts w:ascii="Book Antiqua" w:hAnsi="Book Antiqua"/>
          <w:sz w:val="25"/>
          <w:szCs w:val="25"/>
        </w:rPr>
        <w:t xml:space="preserve"> </w:t>
      </w:r>
      <w:r w:rsidR="00D83D04" w:rsidRPr="00C77509">
        <w:rPr>
          <w:rFonts w:ascii="Book Antiqua" w:hAnsi="Book Antiqua"/>
          <w:sz w:val="25"/>
          <w:szCs w:val="25"/>
        </w:rPr>
        <w:t xml:space="preserve">devendo ser apresentada emenda com a seguinte redação: </w:t>
      </w:r>
    </w:p>
    <w:p w:rsidR="00D83D04" w:rsidRPr="00C77509" w:rsidRDefault="00BA3459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“Art. 5º Os carnês de Imposto Predial Territorial Urbano – IPTU serão distribuídos aos servidores municipais que prestarão o serviço</w:t>
      </w:r>
      <w:r w:rsidR="00D83D04" w:rsidRPr="00C77509">
        <w:rPr>
          <w:rFonts w:ascii="Book Antiqua" w:hAnsi="Book Antiqua"/>
          <w:sz w:val="25"/>
          <w:szCs w:val="25"/>
        </w:rPr>
        <w:t>.</w:t>
      </w:r>
    </w:p>
    <w:p w:rsidR="00D83D04" w:rsidRPr="00C77509" w:rsidRDefault="00D83D04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Parágrafo único. Caberá à Secretaria Municipal de Fazenda estabelecer zoneamento, que observará:</w:t>
      </w:r>
    </w:p>
    <w:p w:rsidR="00D83D04" w:rsidRPr="00C77509" w:rsidRDefault="00D83D04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I - a lotação dos servidores e respectiva unidade Estratégia de Saúde da Família – ESF;</w:t>
      </w:r>
    </w:p>
    <w:p w:rsidR="00BA3459" w:rsidRPr="00C77509" w:rsidRDefault="00D83D04" w:rsidP="00705323">
      <w:pPr>
        <w:spacing w:before="240" w:after="240" w:line="240" w:lineRule="auto"/>
        <w:ind w:left="2268" w:firstLine="567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II – os endereços dos contribuintes que receberão os carnês do Imposto Predial Territorial Urbano</w:t>
      </w:r>
      <w:r w:rsidR="00106281" w:rsidRPr="00C77509">
        <w:rPr>
          <w:rFonts w:ascii="Book Antiqua" w:hAnsi="Book Antiqua"/>
          <w:sz w:val="25"/>
          <w:szCs w:val="25"/>
        </w:rPr>
        <w:t xml:space="preserve"> - IPTU</w:t>
      </w:r>
      <w:r w:rsidR="00312006" w:rsidRPr="00C77509">
        <w:rPr>
          <w:rFonts w:ascii="Book Antiqua" w:hAnsi="Book Antiqua"/>
          <w:sz w:val="25"/>
          <w:szCs w:val="25"/>
        </w:rPr>
        <w:t xml:space="preserve"> para entrega</w:t>
      </w:r>
      <w:r w:rsidRPr="00C77509">
        <w:rPr>
          <w:rFonts w:ascii="Book Antiqua" w:hAnsi="Book Antiqua"/>
          <w:sz w:val="25"/>
          <w:szCs w:val="25"/>
        </w:rPr>
        <w:t xml:space="preserve"> e a suas inserções na</w:t>
      </w:r>
      <w:r w:rsidR="00312006" w:rsidRPr="00C77509">
        <w:rPr>
          <w:rFonts w:ascii="Book Antiqua" w:hAnsi="Book Antiqua"/>
          <w:sz w:val="25"/>
          <w:szCs w:val="25"/>
        </w:rPr>
        <w:t>s</w:t>
      </w:r>
      <w:r w:rsidRPr="00C77509">
        <w:rPr>
          <w:rFonts w:ascii="Book Antiqua" w:hAnsi="Book Antiqua"/>
          <w:sz w:val="25"/>
          <w:szCs w:val="25"/>
        </w:rPr>
        <w:t xml:space="preserve"> áreas </w:t>
      </w:r>
      <w:r w:rsidR="00312006" w:rsidRPr="00C77509">
        <w:rPr>
          <w:rFonts w:ascii="Book Antiqua" w:hAnsi="Book Antiqua"/>
          <w:sz w:val="25"/>
          <w:szCs w:val="25"/>
        </w:rPr>
        <w:t>territoriais das</w:t>
      </w:r>
      <w:r w:rsidRPr="00C77509">
        <w:rPr>
          <w:rFonts w:ascii="Book Antiqua" w:hAnsi="Book Antiqua"/>
          <w:sz w:val="25"/>
          <w:szCs w:val="25"/>
        </w:rPr>
        <w:t xml:space="preserve"> unidades Estratégia de Saúde da Família – ESF.</w:t>
      </w:r>
    </w:p>
    <w:p w:rsidR="00F70DF2" w:rsidRPr="00C77509" w:rsidRDefault="000D584E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Caso fosse considerado o texto vindo do Executivo, recomendaríamos</w:t>
      </w:r>
      <w:r w:rsidR="00CC45FF" w:rsidRPr="00C77509">
        <w:rPr>
          <w:rFonts w:ascii="Book Antiqua" w:hAnsi="Book Antiqua"/>
          <w:sz w:val="25"/>
          <w:szCs w:val="25"/>
        </w:rPr>
        <w:t>, também, a</w:t>
      </w:r>
      <w:r w:rsidR="00B759B2" w:rsidRPr="00C77509">
        <w:rPr>
          <w:rFonts w:ascii="Book Antiqua" w:hAnsi="Book Antiqua"/>
          <w:sz w:val="25"/>
          <w:szCs w:val="25"/>
        </w:rPr>
        <w:t xml:space="preserve"> </w:t>
      </w:r>
      <w:r w:rsidR="00B759B2" w:rsidRPr="00C77509">
        <w:rPr>
          <w:rFonts w:ascii="Book Antiqua" w:hAnsi="Book Antiqua"/>
          <w:sz w:val="25"/>
          <w:szCs w:val="25"/>
          <w:u w:val="single"/>
        </w:rPr>
        <w:t>supressão integral</w:t>
      </w:r>
      <w:r w:rsidR="00B759B2" w:rsidRPr="00C77509">
        <w:rPr>
          <w:rFonts w:ascii="Book Antiqua" w:hAnsi="Book Antiqua"/>
          <w:sz w:val="25"/>
          <w:szCs w:val="25"/>
        </w:rPr>
        <w:t xml:space="preserve"> do texto do </w:t>
      </w:r>
      <w:r w:rsidR="00B759B2" w:rsidRPr="00C77509">
        <w:rPr>
          <w:rFonts w:ascii="Book Antiqua" w:hAnsi="Book Antiqua"/>
          <w:b/>
          <w:sz w:val="25"/>
          <w:szCs w:val="25"/>
        </w:rPr>
        <w:t>artigo</w:t>
      </w:r>
      <w:r w:rsidR="00B759B2" w:rsidRPr="00C77509">
        <w:rPr>
          <w:rFonts w:ascii="Book Antiqua" w:hAnsi="Book Antiqua"/>
          <w:sz w:val="25"/>
          <w:szCs w:val="25"/>
        </w:rPr>
        <w:t xml:space="preserve"> </w:t>
      </w:r>
      <w:r w:rsidR="00B759B2" w:rsidRPr="00C77509">
        <w:rPr>
          <w:rFonts w:ascii="Book Antiqua" w:hAnsi="Book Antiqua"/>
          <w:b/>
          <w:sz w:val="25"/>
          <w:szCs w:val="25"/>
        </w:rPr>
        <w:t xml:space="preserve">6º </w:t>
      </w:r>
      <w:r w:rsidR="00B759B2" w:rsidRPr="00C77509">
        <w:rPr>
          <w:rFonts w:ascii="Book Antiqua" w:hAnsi="Book Antiqua"/>
          <w:sz w:val="25"/>
          <w:szCs w:val="25"/>
        </w:rPr>
        <w:t xml:space="preserve">do Projeto de Lei em questão, tendo em vista que se tratou – em verdade – de uma autorização para o pagamento aos servidores que executaram o serviço de entrega dos carnês do IPTU </w:t>
      </w:r>
      <w:r w:rsidR="00B759B2" w:rsidRPr="00C77509">
        <w:rPr>
          <w:rFonts w:ascii="Book Antiqua" w:hAnsi="Book Antiqua"/>
          <w:b/>
          <w:sz w:val="25"/>
          <w:szCs w:val="25"/>
        </w:rPr>
        <w:t>no ano de 2012</w:t>
      </w:r>
      <w:r w:rsidR="00B759B2" w:rsidRPr="00C77509">
        <w:rPr>
          <w:rFonts w:ascii="Book Antiqua" w:hAnsi="Book Antiqua"/>
          <w:sz w:val="25"/>
          <w:szCs w:val="25"/>
        </w:rPr>
        <w:t>, não tendo a menor aplicação em relação ao presente exercício de 2018, tendo em vista que sequer houve a confecção dos carnês</w:t>
      </w:r>
      <w:r w:rsidRPr="00C77509">
        <w:rPr>
          <w:rFonts w:ascii="Book Antiqua" w:hAnsi="Book Antiqua"/>
          <w:sz w:val="25"/>
          <w:szCs w:val="25"/>
        </w:rPr>
        <w:t xml:space="preserve"> alusivos ano exercício de 2019,</w:t>
      </w:r>
      <w:r w:rsidR="00B759B2" w:rsidRPr="00C77509">
        <w:rPr>
          <w:rFonts w:ascii="Book Antiqua" w:hAnsi="Book Antiqua"/>
          <w:sz w:val="25"/>
          <w:szCs w:val="25"/>
        </w:rPr>
        <w:t xml:space="preserve"> que serão distribuídos</w:t>
      </w:r>
      <w:r w:rsidR="00450AEA" w:rsidRPr="00C77509">
        <w:rPr>
          <w:rFonts w:ascii="Book Antiqua" w:hAnsi="Book Antiqua"/>
          <w:sz w:val="25"/>
          <w:szCs w:val="25"/>
        </w:rPr>
        <w:t xml:space="preserve"> no tempo oportuno</w:t>
      </w:r>
      <w:r w:rsidR="00B759B2" w:rsidRPr="00C77509">
        <w:rPr>
          <w:rFonts w:ascii="Book Antiqua" w:hAnsi="Book Antiqua"/>
          <w:sz w:val="25"/>
          <w:szCs w:val="25"/>
        </w:rPr>
        <w:t>.</w:t>
      </w:r>
    </w:p>
    <w:p w:rsidR="00B759B2" w:rsidRPr="00C77509" w:rsidRDefault="00B759B2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 xml:space="preserve">De fato, </w:t>
      </w:r>
      <w:r w:rsidR="00450AEA" w:rsidRPr="00C77509">
        <w:rPr>
          <w:rFonts w:ascii="Book Antiqua" w:hAnsi="Book Antiqua"/>
          <w:sz w:val="25"/>
          <w:szCs w:val="25"/>
        </w:rPr>
        <w:t xml:space="preserve">o texto do artigo 6º da Lei </w:t>
      </w:r>
      <w:r w:rsidR="00D12C30" w:rsidRPr="00C77509">
        <w:rPr>
          <w:rFonts w:ascii="Book Antiqua" w:hAnsi="Book Antiqua"/>
          <w:sz w:val="25"/>
          <w:szCs w:val="25"/>
        </w:rPr>
        <w:t xml:space="preserve">Municipal nº </w:t>
      </w:r>
      <w:r w:rsidR="00450AEA" w:rsidRPr="00C77509">
        <w:rPr>
          <w:rFonts w:ascii="Book Antiqua" w:hAnsi="Book Antiqua"/>
          <w:sz w:val="25"/>
          <w:szCs w:val="25"/>
        </w:rPr>
        <w:t>4.016/2012</w:t>
      </w:r>
      <w:r w:rsidR="005637F7" w:rsidRPr="00C77509">
        <w:rPr>
          <w:rFonts w:ascii="Book Antiqua" w:hAnsi="Book Antiqua"/>
          <w:sz w:val="25"/>
          <w:szCs w:val="25"/>
        </w:rPr>
        <w:t xml:space="preserve">, </w:t>
      </w:r>
      <w:r w:rsidR="00450AEA" w:rsidRPr="00C77509">
        <w:rPr>
          <w:rFonts w:ascii="Book Antiqua" w:hAnsi="Book Antiqua"/>
          <w:sz w:val="25"/>
          <w:szCs w:val="25"/>
        </w:rPr>
        <w:t xml:space="preserve">se refere </w:t>
      </w:r>
      <w:r w:rsidR="00AB3117" w:rsidRPr="00C77509">
        <w:rPr>
          <w:rFonts w:ascii="Book Antiqua" w:hAnsi="Book Antiqua"/>
          <w:sz w:val="25"/>
          <w:szCs w:val="25"/>
        </w:rPr>
        <w:t>a situação específica daquele exercício</w:t>
      </w:r>
      <w:r w:rsidR="00423C85" w:rsidRPr="00C77509">
        <w:rPr>
          <w:rFonts w:ascii="Book Antiqua" w:hAnsi="Book Antiqua"/>
          <w:sz w:val="25"/>
          <w:szCs w:val="25"/>
        </w:rPr>
        <w:t xml:space="preserve"> de 2012</w:t>
      </w:r>
      <w:r w:rsidR="00AB3117" w:rsidRPr="00C77509">
        <w:rPr>
          <w:rFonts w:ascii="Book Antiqua" w:hAnsi="Book Antiqua"/>
          <w:sz w:val="25"/>
          <w:szCs w:val="25"/>
        </w:rPr>
        <w:t xml:space="preserve">, tendo em vista que o serviço teria sido prestado </w:t>
      </w:r>
      <w:r w:rsidR="00423C85" w:rsidRPr="00C77509">
        <w:rPr>
          <w:rFonts w:ascii="Book Antiqua" w:hAnsi="Book Antiqua"/>
          <w:sz w:val="25"/>
          <w:szCs w:val="25"/>
        </w:rPr>
        <w:t xml:space="preserve">– daí a colocação do verbo no passado, ou seja, que “executaram”, </w:t>
      </w:r>
      <w:r w:rsidR="00AB3117" w:rsidRPr="00C77509">
        <w:rPr>
          <w:rFonts w:ascii="Book Antiqua" w:hAnsi="Book Antiqua"/>
          <w:sz w:val="25"/>
          <w:szCs w:val="25"/>
        </w:rPr>
        <w:t>pelos servidores, porém – ao que parece - não havia respaldo legal para o pagamento da gratificação, situação que foi possível graças a redação do dispositivo, convertido em norma de direito positivo, como se observa.</w:t>
      </w:r>
      <w:r w:rsidR="005637F7" w:rsidRPr="00C77509">
        <w:rPr>
          <w:rFonts w:ascii="Book Antiqua" w:hAnsi="Book Antiqua"/>
          <w:sz w:val="25"/>
          <w:szCs w:val="25"/>
        </w:rPr>
        <w:t xml:space="preserve"> Logo, a reprodução do dispositivo da Lei</w:t>
      </w:r>
      <w:r w:rsidR="003F6B3F" w:rsidRPr="00C77509">
        <w:rPr>
          <w:rFonts w:ascii="Book Antiqua" w:hAnsi="Book Antiqua"/>
          <w:sz w:val="25"/>
          <w:szCs w:val="25"/>
        </w:rPr>
        <w:t xml:space="preserve"> Municipal nº</w:t>
      </w:r>
      <w:r w:rsidR="005637F7" w:rsidRPr="00C77509">
        <w:rPr>
          <w:rFonts w:ascii="Book Antiqua" w:hAnsi="Book Antiqua"/>
          <w:sz w:val="25"/>
          <w:szCs w:val="25"/>
        </w:rPr>
        <w:t xml:space="preserve"> 4.0</w:t>
      </w:r>
      <w:r w:rsidR="008C5B68" w:rsidRPr="00C77509">
        <w:rPr>
          <w:rFonts w:ascii="Book Antiqua" w:hAnsi="Book Antiqua"/>
          <w:sz w:val="25"/>
          <w:szCs w:val="25"/>
        </w:rPr>
        <w:t>16</w:t>
      </w:r>
      <w:r w:rsidR="005637F7" w:rsidRPr="00C77509">
        <w:rPr>
          <w:rFonts w:ascii="Book Antiqua" w:hAnsi="Book Antiqua"/>
          <w:sz w:val="25"/>
          <w:szCs w:val="25"/>
        </w:rPr>
        <w:t>/12 neste projeto se revela indevida, motivo pelo qual deve ser suprimido.</w:t>
      </w:r>
    </w:p>
    <w:p w:rsidR="00423C85" w:rsidRPr="00C77509" w:rsidRDefault="006E012C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lastRenderedPageBreak/>
        <w:t xml:space="preserve">Ademais, a considerar a redação do artigo 8º, que diz a lei, ora em projeto, entrará em vigor na data de sua publicação, </w:t>
      </w:r>
      <w:r w:rsidRPr="00C77509">
        <w:rPr>
          <w:rFonts w:ascii="Book Antiqua" w:hAnsi="Book Antiqua"/>
          <w:b/>
          <w:sz w:val="25"/>
          <w:szCs w:val="25"/>
        </w:rPr>
        <w:t xml:space="preserve">“produzindo seus efeitos </w:t>
      </w:r>
      <w:r w:rsidRPr="00C77509">
        <w:rPr>
          <w:rFonts w:ascii="Book Antiqua" w:hAnsi="Book Antiqua"/>
          <w:b/>
          <w:sz w:val="25"/>
          <w:szCs w:val="25"/>
          <w:u w:val="single"/>
        </w:rPr>
        <w:t>e vigorando para o ano de 2018</w:t>
      </w:r>
      <w:r w:rsidRPr="00C77509">
        <w:rPr>
          <w:rFonts w:ascii="Book Antiqua" w:hAnsi="Book Antiqua"/>
          <w:b/>
          <w:sz w:val="25"/>
          <w:szCs w:val="25"/>
        </w:rPr>
        <w:t>”</w:t>
      </w:r>
      <w:r w:rsidRPr="00C77509">
        <w:rPr>
          <w:rFonts w:ascii="Book Antiqua" w:hAnsi="Book Antiqua"/>
          <w:sz w:val="25"/>
          <w:szCs w:val="25"/>
        </w:rPr>
        <w:t xml:space="preserve">, haveria óbice lógico de aplicabilidade do texto a que se refere o artigo 6º, </w:t>
      </w:r>
      <w:r w:rsidR="00446556" w:rsidRPr="00C77509">
        <w:rPr>
          <w:rFonts w:ascii="Book Antiqua" w:hAnsi="Book Antiqua"/>
          <w:sz w:val="25"/>
          <w:szCs w:val="25"/>
        </w:rPr>
        <w:t xml:space="preserve">ou seja, os seus efeitos seriam </w:t>
      </w:r>
      <w:r w:rsidR="00446556" w:rsidRPr="00C77509">
        <w:rPr>
          <w:rFonts w:ascii="Book Antiqua" w:hAnsi="Book Antiqua"/>
          <w:i/>
          <w:sz w:val="25"/>
          <w:szCs w:val="25"/>
        </w:rPr>
        <w:t xml:space="preserve">“ex </w:t>
      </w:r>
      <w:r w:rsidR="00C165BA">
        <w:rPr>
          <w:rFonts w:ascii="Book Antiqua" w:hAnsi="Book Antiqua"/>
          <w:i/>
          <w:sz w:val="25"/>
          <w:szCs w:val="25"/>
        </w:rPr>
        <w:t>n</w:t>
      </w:r>
      <w:r w:rsidR="00446556" w:rsidRPr="00C77509">
        <w:rPr>
          <w:rFonts w:ascii="Book Antiqua" w:hAnsi="Book Antiqua"/>
          <w:i/>
          <w:sz w:val="25"/>
          <w:szCs w:val="25"/>
        </w:rPr>
        <w:t>unc”</w:t>
      </w:r>
      <w:r w:rsidR="00873DC9">
        <w:rPr>
          <w:rFonts w:ascii="Book Antiqua" w:hAnsi="Book Antiqua"/>
          <w:sz w:val="25"/>
          <w:szCs w:val="25"/>
        </w:rPr>
        <w:t xml:space="preserve">, ou seja, </w:t>
      </w:r>
      <w:r w:rsidRPr="00C77509">
        <w:rPr>
          <w:rFonts w:ascii="Book Antiqua" w:hAnsi="Book Antiqua"/>
          <w:sz w:val="25"/>
          <w:szCs w:val="25"/>
        </w:rPr>
        <w:t xml:space="preserve">daqui </w:t>
      </w:r>
      <w:r w:rsidR="00873DC9">
        <w:rPr>
          <w:rFonts w:ascii="Book Antiqua" w:hAnsi="Book Antiqua"/>
          <w:sz w:val="25"/>
          <w:szCs w:val="25"/>
        </w:rPr>
        <w:t>para frente</w:t>
      </w:r>
      <w:r w:rsidRPr="00C77509">
        <w:rPr>
          <w:rFonts w:ascii="Book Antiqua" w:hAnsi="Book Antiqua"/>
          <w:sz w:val="25"/>
          <w:szCs w:val="25"/>
        </w:rPr>
        <w:t xml:space="preserve">, e </w:t>
      </w:r>
      <w:r w:rsidR="00423C85" w:rsidRPr="00C77509">
        <w:rPr>
          <w:rFonts w:ascii="Book Antiqua" w:hAnsi="Book Antiqua"/>
          <w:sz w:val="25"/>
          <w:szCs w:val="25"/>
        </w:rPr>
        <w:t>com um detalhe</w:t>
      </w:r>
      <w:r w:rsidR="00446556" w:rsidRPr="00C77509">
        <w:rPr>
          <w:rFonts w:ascii="Book Antiqua" w:hAnsi="Book Antiqua"/>
          <w:sz w:val="25"/>
          <w:szCs w:val="25"/>
        </w:rPr>
        <w:t xml:space="preserve"> restritivo</w:t>
      </w:r>
      <w:r w:rsidR="00873DC9">
        <w:rPr>
          <w:rFonts w:ascii="Book Antiqua" w:hAnsi="Book Antiqua"/>
          <w:sz w:val="25"/>
          <w:szCs w:val="25"/>
        </w:rPr>
        <w:t xml:space="preserve"> a ser considerado</w:t>
      </w:r>
      <w:r w:rsidR="00423C85" w:rsidRPr="00C77509">
        <w:rPr>
          <w:rFonts w:ascii="Book Antiqua" w:hAnsi="Book Antiqua"/>
          <w:sz w:val="25"/>
          <w:szCs w:val="25"/>
        </w:rPr>
        <w:t xml:space="preserve">: </w:t>
      </w:r>
      <w:r w:rsidR="00446556" w:rsidRPr="00C77509">
        <w:rPr>
          <w:rFonts w:ascii="Book Antiqua" w:hAnsi="Book Antiqua"/>
          <w:sz w:val="25"/>
          <w:szCs w:val="25"/>
        </w:rPr>
        <w:t xml:space="preserve">a lei – se aprovado o projeto com esta redação - </w:t>
      </w:r>
      <w:r w:rsidR="00423C85" w:rsidRPr="00C77509">
        <w:rPr>
          <w:rFonts w:ascii="Book Antiqua" w:hAnsi="Book Antiqua"/>
          <w:sz w:val="25"/>
          <w:szCs w:val="25"/>
        </w:rPr>
        <w:t xml:space="preserve">vigoraria </w:t>
      </w:r>
      <w:r w:rsidR="00873DC9">
        <w:rPr>
          <w:rFonts w:ascii="Book Antiqua" w:hAnsi="Book Antiqua"/>
          <w:sz w:val="25"/>
          <w:szCs w:val="25"/>
        </w:rPr>
        <w:t>somente para o ano de 2018, demandando a necessidade de remessa de outro projeto de lei a esta Casa Legislativa para que este limite temporal de vigência seja expressamente revogad</w:t>
      </w:r>
      <w:r w:rsidR="003E5510">
        <w:rPr>
          <w:rFonts w:ascii="Book Antiqua" w:hAnsi="Book Antiqua"/>
          <w:sz w:val="25"/>
          <w:szCs w:val="25"/>
        </w:rPr>
        <w:t>a.</w:t>
      </w:r>
    </w:p>
    <w:p w:rsidR="006E012C" w:rsidRPr="00C77509" w:rsidRDefault="005637F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Neste caso</w:t>
      </w:r>
      <w:r w:rsidR="0054287A" w:rsidRPr="00C77509">
        <w:rPr>
          <w:rFonts w:ascii="Book Antiqua" w:hAnsi="Book Antiqua"/>
          <w:sz w:val="25"/>
          <w:szCs w:val="25"/>
        </w:rPr>
        <w:t>, deve ser suprimido totalmente o</w:t>
      </w:r>
      <w:r w:rsidR="006E012C" w:rsidRPr="00C77509">
        <w:rPr>
          <w:rFonts w:ascii="Book Antiqua" w:hAnsi="Book Antiqua"/>
          <w:sz w:val="25"/>
          <w:szCs w:val="25"/>
        </w:rPr>
        <w:t xml:space="preserve"> artigo 6º </w:t>
      </w:r>
      <w:r w:rsidR="0054287A" w:rsidRPr="00C77509">
        <w:rPr>
          <w:rFonts w:ascii="Book Antiqua" w:hAnsi="Book Antiqua"/>
          <w:sz w:val="25"/>
          <w:szCs w:val="25"/>
        </w:rPr>
        <w:t>e modificada a redação do artigo 8º,</w:t>
      </w:r>
      <w:r w:rsidR="006E012C" w:rsidRPr="00C77509">
        <w:rPr>
          <w:rFonts w:ascii="Book Antiqua" w:hAnsi="Book Antiqua"/>
          <w:sz w:val="25"/>
          <w:szCs w:val="25"/>
        </w:rPr>
        <w:t xml:space="preserve"> </w:t>
      </w:r>
      <w:r w:rsidR="0054287A" w:rsidRPr="00C77509">
        <w:rPr>
          <w:rFonts w:ascii="Book Antiqua" w:hAnsi="Book Antiqua"/>
          <w:sz w:val="25"/>
          <w:szCs w:val="25"/>
        </w:rPr>
        <w:t>o que para tanto recomendamos a redação e apresentação de</w:t>
      </w:r>
      <w:r w:rsidR="006E012C" w:rsidRPr="00C77509">
        <w:rPr>
          <w:rFonts w:ascii="Book Antiqua" w:hAnsi="Book Antiqua"/>
          <w:sz w:val="25"/>
          <w:szCs w:val="25"/>
        </w:rPr>
        <w:t xml:space="preserve"> emenda modificativa, de molde a constar tão somente a cláusula de vigência, com a seguinte redação: “Art. 8º Esta Lei entra em vigor na data de sua publicação.”</w:t>
      </w:r>
      <w:r w:rsidRPr="00C77509">
        <w:rPr>
          <w:rFonts w:ascii="Book Antiqua" w:hAnsi="Book Antiqua"/>
          <w:sz w:val="25"/>
          <w:szCs w:val="25"/>
        </w:rPr>
        <w:t xml:space="preserve"> E nada mais.</w:t>
      </w:r>
    </w:p>
    <w:p w:rsidR="005637F7" w:rsidRPr="00C77509" w:rsidRDefault="005637F7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Por conseguinte, suprimindo-se integralmente o art. 6º do projeto, os demais artigos d</w:t>
      </w:r>
      <w:r w:rsidR="000D584E" w:rsidRPr="00C77509">
        <w:rPr>
          <w:rFonts w:ascii="Book Antiqua" w:hAnsi="Book Antiqua"/>
          <w:sz w:val="25"/>
          <w:szCs w:val="25"/>
        </w:rPr>
        <w:t>everiam</w:t>
      </w:r>
      <w:r w:rsidR="00BA3459" w:rsidRPr="00C77509">
        <w:rPr>
          <w:rFonts w:ascii="Book Antiqua" w:hAnsi="Book Antiqua"/>
          <w:sz w:val="25"/>
          <w:szCs w:val="25"/>
        </w:rPr>
        <w:t xml:space="preserve"> ser renumerados, razão pela qual o artigo 7º passa a ser o 6º e daí sucessivame</w:t>
      </w:r>
      <w:r w:rsidR="007861D9" w:rsidRPr="00C77509">
        <w:rPr>
          <w:rFonts w:ascii="Book Antiqua" w:hAnsi="Book Antiqua"/>
          <w:sz w:val="25"/>
          <w:szCs w:val="25"/>
        </w:rPr>
        <w:t>nte até a cláusula de revogação. Contudo,</w:t>
      </w:r>
      <w:r w:rsidR="00BA3459" w:rsidRPr="00C77509">
        <w:rPr>
          <w:rFonts w:ascii="Book Antiqua" w:hAnsi="Book Antiqua"/>
          <w:sz w:val="25"/>
          <w:szCs w:val="25"/>
        </w:rPr>
        <w:t xml:space="preserve"> </w:t>
      </w:r>
      <w:r w:rsidR="000D584E" w:rsidRPr="00C77509">
        <w:rPr>
          <w:rFonts w:ascii="Book Antiqua" w:hAnsi="Book Antiqua"/>
          <w:sz w:val="25"/>
          <w:szCs w:val="25"/>
        </w:rPr>
        <w:t>tal proposta perde – como de fato perdeu – o objeto, em vista da recomendação de Substitutivo ou devolução do projeto ao Executivo, para que novo texto de projeto que</w:t>
      </w:r>
      <w:r w:rsidR="007861D9" w:rsidRPr="00C77509">
        <w:rPr>
          <w:rFonts w:ascii="Book Antiqua" w:hAnsi="Book Antiqua"/>
          <w:sz w:val="25"/>
          <w:szCs w:val="25"/>
        </w:rPr>
        <w:t xml:space="preserve"> proponha a</w:t>
      </w:r>
      <w:r w:rsidR="000D584E" w:rsidRPr="00C77509">
        <w:rPr>
          <w:rFonts w:ascii="Book Antiqua" w:hAnsi="Book Antiqua"/>
          <w:sz w:val="25"/>
          <w:szCs w:val="25"/>
        </w:rPr>
        <w:t xml:space="preserve"> alter</w:t>
      </w:r>
      <w:r w:rsidR="007861D9" w:rsidRPr="00C77509">
        <w:rPr>
          <w:rFonts w:ascii="Book Antiqua" w:hAnsi="Book Antiqua"/>
          <w:sz w:val="25"/>
          <w:szCs w:val="25"/>
        </w:rPr>
        <w:t>ação</w:t>
      </w:r>
      <w:r w:rsidR="000D584E" w:rsidRPr="00C77509">
        <w:rPr>
          <w:rFonts w:ascii="Book Antiqua" w:hAnsi="Book Antiqua"/>
          <w:sz w:val="25"/>
          <w:szCs w:val="25"/>
        </w:rPr>
        <w:t xml:space="preserve"> </w:t>
      </w:r>
      <w:r w:rsidR="007861D9" w:rsidRPr="00C77509">
        <w:rPr>
          <w:rFonts w:ascii="Book Antiqua" w:hAnsi="Book Antiqua"/>
          <w:sz w:val="25"/>
          <w:szCs w:val="25"/>
        </w:rPr>
        <w:t>d</w:t>
      </w:r>
      <w:r w:rsidR="000D584E" w:rsidRPr="00C77509">
        <w:rPr>
          <w:rFonts w:ascii="Book Antiqua" w:hAnsi="Book Antiqua"/>
          <w:sz w:val="25"/>
          <w:szCs w:val="25"/>
        </w:rPr>
        <w:t>os dispositivos específicos da Lei</w:t>
      </w:r>
      <w:r w:rsidR="00D12C30" w:rsidRPr="00C77509">
        <w:rPr>
          <w:rFonts w:ascii="Book Antiqua" w:hAnsi="Book Antiqua"/>
          <w:sz w:val="25"/>
          <w:szCs w:val="25"/>
        </w:rPr>
        <w:t xml:space="preserve"> Municipal nº</w:t>
      </w:r>
      <w:r w:rsidR="000D584E" w:rsidRPr="00C77509">
        <w:rPr>
          <w:rFonts w:ascii="Book Antiqua" w:hAnsi="Book Antiqua"/>
          <w:sz w:val="25"/>
          <w:szCs w:val="25"/>
        </w:rPr>
        <w:t xml:space="preserve"> 4.016/12 e não venha a revogar totalmente.</w:t>
      </w:r>
    </w:p>
    <w:p w:rsidR="00E640C7" w:rsidRPr="00C77509" w:rsidRDefault="00E640C7" w:rsidP="00265541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>4 - DA CONCLUSÃO</w:t>
      </w:r>
      <w:r w:rsidR="00890BF5" w:rsidRPr="00C77509">
        <w:rPr>
          <w:rFonts w:ascii="Book Antiqua" w:hAnsi="Book Antiqua"/>
          <w:b/>
          <w:sz w:val="25"/>
          <w:szCs w:val="25"/>
        </w:rPr>
        <w:t xml:space="preserve"> – RECOMENDAÇÕES E SUGESTÕES </w:t>
      </w:r>
    </w:p>
    <w:p w:rsidR="001D65EC" w:rsidRPr="00C77509" w:rsidRDefault="00EB360A" w:rsidP="001D65EC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Em vista do exposto, opino no sentido de</w:t>
      </w:r>
      <w:r w:rsidR="007861D9" w:rsidRPr="00C77509">
        <w:rPr>
          <w:rFonts w:ascii="Book Antiqua" w:hAnsi="Book Antiqua"/>
          <w:sz w:val="25"/>
          <w:szCs w:val="25"/>
        </w:rPr>
        <w:t xml:space="preserve"> que o Projeto de Lei em análise </w:t>
      </w:r>
      <w:r w:rsidR="007861D9" w:rsidRPr="00C77509">
        <w:rPr>
          <w:rFonts w:ascii="Book Antiqua" w:hAnsi="Book Antiqua"/>
          <w:b/>
          <w:sz w:val="25"/>
          <w:szCs w:val="25"/>
          <w:u w:val="single"/>
        </w:rPr>
        <w:t>somente poderá ser apreciado pela Casa, se apresentado Substitutivo</w:t>
      </w:r>
      <w:r w:rsidR="007861D9" w:rsidRPr="00C77509">
        <w:rPr>
          <w:rFonts w:ascii="Book Antiqua" w:hAnsi="Book Antiqua"/>
          <w:sz w:val="25"/>
          <w:szCs w:val="25"/>
        </w:rPr>
        <w:t>, que altere o texto apresentado para que somente as alterações pontuais da Lei</w:t>
      </w:r>
      <w:r w:rsidR="00D12C30" w:rsidRPr="00C77509">
        <w:rPr>
          <w:rFonts w:ascii="Book Antiqua" w:hAnsi="Book Antiqua"/>
          <w:sz w:val="25"/>
          <w:szCs w:val="25"/>
        </w:rPr>
        <w:t xml:space="preserve"> Municipal nº</w:t>
      </w:r>
      <w:r w:rsidR="007861D9" w:rsidRPr="00C77509">
        <w:rPr>
          <w:rFonts w:ascii="Book Antiqua" w:hAnsi="Book Antiqua"/>
          <w:sz w:val="25"/>
          <w:szCs w:val="25"/>
        </w:rPr>
        <w:t xml:space="preserve"> 4.016/12 sejam consideradas,</w:t>
      </w:r>
      <w:r w:rsidR="001D65EC">
        <w:rPr>
          <w:rFonts w:ascii="Book Antiqua" w:hAnsi="Book Antiqua"/>
          <w:sz w:val="25"/>
          <w:szCs w:val="25"/>
        </w:rPr>
        <w:t xml:space="preserve"> </w:t>
      </w:r>
      <w:r w:rsidR="001D65EC" w:rsidRPr="00C77509">
        <w:rPr>
          <w:rFonts w:ascii="Book Antiqua" w:hAnsi="Book Antiqua"/>
          <w:sz w:val="25"/>
          <w:szCs w:val="25"/>
        </w:rPr>
        <w:t xml:space="preserve">ou sucessivamente, caso entenda de modo diverso esta Casa Legislativa, proceder à devolução do Projeto ao autor, Chefe do Poder Executivo, para que proceda as adequações </w:t>
      </w:r>
      <w:r w:rsidR="001D65EC">
        <w:rPr>
          <w:rFonts w:ascii="Book Antiqua" w:hAnsi="Book Antiqua"/>
          <w:sz w:val="25"/>
          <w:szCs w:val="25"/>
        </w:rPr>
        <w:t>d</w:t>
      </w:r>
      <w:r w:rsidR="001D65EC" w:rsidRPr="00C77509">
        <w:rPr>
          <w:rFonts w:ascii="Book Antiqua" w:hAnsi="Book Antiqua"/>
          <w:sz w:val="25"/>
          <w:szCs w:val="25"/>
        </w:rPr>
        <w:t>o texto, harmonizando-o com o que determina o artigo 12, inciso I, da Lei Complementar nº 95/98, de observância obrigatória</w:t>
      </w:r>
      <w:r w:rsidR="001D65EC">
        <w:rPr>
          <w:rFonts w:ascii="Book Antiqua" w:hAnsi="Book Antiqua"/>
          <w:sz w:val="25"/>
          <w:szCs w:val="25"/>
        </w:rPr>
        <w:t>, podendo, inclusive, se eventualmente estiver de acordo,  incorporar ao novo projeto as emendas sugeridas no item 4 deste opinativo.</w:t>
      </w:r>
    </w:p>
    <w:p w:rsidR="00EB360A" w:rsidRPr="00C77509" w:rsidRDefault="003E5510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lastRenderedPageBreak/>
        <w:t xml:space="preserve"> </w:t>
      </w:r>
      <w:r w:rsidR="007861D9" w:rsidRPr="00C77509">
        <w:rPr>
          <w:rFonts w:ascii="Book Antiqua" w:hAnsi="Book Antiqua"/>
          <w:sz w:val="25"/>
          <w:szCs w:val="25"/>
        </w:rPr>
        <w:t xml:space="preserve">Quanto ao teor das propostas consignadas no Projeto que alteram a Lei </w:t>
      </w:r>
      <w:r w:rsidR="00D12C30" w:rsidRPr="00C77509">
        <w:rPr>
          <w:rFonts w:ascii="Book Antiqua" w:hAnsi="Book Antiqua"/>
          <w:sz w:val="25"/>
          <w:szCs w:val="25"/>
        </w:rPr>
        <w:t xml:space="preserve">Municipal nº </w:t>
      </w:r>
      <w:r w:rsidR="007861D9" w:rsidRPr="00C77509">
        <w:rPr>
          <w:rFonts w:ascii="Book Antiqua" w:hAnsi="Book Antiqua"/>
          <w:sz w:val="25"/>
          <w:szCs w:val="25"/>
        </w:rPr>
        <w:t xml:space="preserve">4.016/12, </w:t>
      </w:r>
      <w:r w:rsidR="00890BF5" w:rsidRPr="00C77509">
        <w:rPr>
          <w:rFonts w:ascii="Book Antiqua" w:hAnsi="Book Antiqua"/>
          <w:sz w:val="25"/>
          <w:szCs w:val="25"/>
        </w:rPr>
        <w:t>opino no sentido de</w:t>
      </w:r>
      <w:r w:rsidR="007861D9" w:rsidRPr="00C77509">
        <w:rPr>
          <w:rFonts w:ascii="Book Antiqua" w:hAnsi="Book Antiqua"/>
          <w:sz w:val="25"/>
          <w:szCs w:val="25"/>
        </w:rPr>
        <w:t xml:space="preserve"> que as mesmas se revestem </w:t>
      </w:r>
      <w:r w:rsidR="00EB360A" w:rsidRPr="00C77509">
        <w:rPr>
          <w:rFonts w:ascii="Book Antiqua" w:hAnsi="Book Antiqua"/>
          <w:sz w:val="25"/>
          <w:szCs w:val="25"/>
        </w:rPr>
        <w:t xml:space="preserve">de constitucionalidade, legalidade e juridicidade, razão pela qual </w:t>
      </w:r>
      <w:r w:rsidR="00EB360A" w:rsidRPr="00C77509">
        <w:rPr>
          <w:rFonts w:ascii="Book Antiqua" w:hAnsi="Book Antiqua"/>
          <w:b/>
          <w:sz w:val="25"/>
          <w:szCs w:val="25"/>
          <w:u w:val="single"/>
        </w:rPr>
        <w:t>pode</w:t>
      </w:r>
      <w:r w:rsidR="007861D9" w:rsidRPr="00C77509">
        <w:rPr>
          <w:rFonts w:ascii="Book Antiqua" w:hAnsi="Book Antiqua"/>
          <w:b/>
          <w:sz w:val="25"/>
          <w:szCs w:val="25"/>
          <w:u w:val="single"/>
        </w:rPr>
        <w:t>m</w:t>
      </w:r>
      <w:r w:rsidR="00EB360A" w:rsidRPr="00C77509">
        <w:rPr>
          <w:rFonts w:ascii="Book Antiqua" w:hAnsi="Book Antiqua"/>
          <w:b/>
          <w:sz w:val="25"/>
          <w:szCs w:val="25"/>
          <w:u w:val="single"/>
        </w:rPr>
        <w:t xml:space="preserve"> ser apreciad</w:t>
      </w:r>
      <w:r w:rsidR="007861D9" w:rsidRPr="00C77509">
        <w:rPr>
          <w:rFonts w:ascii="Book Antiqua" w:hAnsi="Book Antiqua"/>
          <w:b/>
          <w:sz w:val="25"/>
          <w:szCs w:val="25"/>
          <w:u w:val="single"/>
        </w:rPr>
        <w:t>as</w:t>
      </w:r>
      <w:r w:rsidR="00EB360A" w:rsidRPr="00C77509">
        <w:rPr>
          <w:rFonts w:ascii="Book Antiqua" w:hAnsi="Book Antiqua"/>
          <w:sz w:val="25"/>
          <w:szCs w:val="25"/>
        </w:rPr>
        <w:t xml:space="preserve"> por esta C</w:t>
      </w:r>
      <w:r w:rsidR="00890BF5" w:rsidRPr="00C77509">
        <w:rPr>
          <w:rFonts w:ascii="Book Antiqua" w:hAnsi="Book Antiqua"/>
          <w:sz w:val="25"/>
          <w:szCs w:val="25"/>
        </w:rPr>
        <w:t>asa Legislativa. Porém, sobre as mesmas, deverão ser apresentadas</w:t>
      </w:r>
      <w:r w:rsidR="00EB360A" w:rsidRPr="00C77509">
        <w:rPr>
          <w:rFonts w:ascii="Book Antiqua" w:hAnsi="Book Antiqua"/>
          <w:sz w:val="25"/>
          <w:szCs w:val="25"/>
        </w:rPr>
        <w:t xml:space="preserve"> </w:t>
      </w:r>
      <w:r w:rsidR="00106281" w:rsidRPr="00C77509">
        <w:rPr>
          <w:rFonts w:ascii="Book Antiqua" w:hAnsi="Book Antiqua"/>
          <w:sz w:val="25"/>
          <w:szCs w:val="25"/>
        </w:rPr>
        <w:t xml:space="preserve">emendas modificativas, supressivas e aditivas, como </w:t>
      </w:r>
      <w:r w:rsidR="00890BF5" w:rsidRPr="00C77509">
        <w:rPr>
          <w:rFonts w:ascii="Book Antiqua" w:hAnsi="Book Antiqua"/>
          <w:sz w:val="25"/>
          <w:szCs w:val="25"/>
        </w:rPr>
        <w:t>sugeridas</w:t>
      </w:r>
      <w:r w:rsidR="00984BD4" w:rsidRPr="00C77509">
        <w:rPr>
          <w:rFonts w:ascii="Book Antiqua" w:hAnsi="Book Antiqua"/>
          <w:sz w:val="25"/>
          <w:szCs w:val="25"/>
        </w:rPr>
        <w:t xml:space="preserve"> </w:t>
      </w:r>
      <w:r w:rsidR="00E348FA" w:rsidRPr="00C77509">
        <w:rPr>
          <w:rFonts w:ascii="Book Antiqua" w:hAnsi="Book Antiqua"/>
          <w:sz w:val="25"/>
          <w:szCs w:val="25"/>
        </w:rPr>
        <w:t>de modo fundamentado</w:t>
      </w:r>
      <w:r w:rsidR="00EB360A" w:rsidRPr="00C77509">
        <w:rPr>
          <w:rFonts w:ascii="Book Antiqua" w:hAnsi="Book Antiqua"/>
          <w:sz w:val="25"/>
          <w:szCs w:val="25"/>
        </w:rPr>
        <w:t xml:space="preserve"> no </w:t>
      </w:r>
      <w:r w:rsidR="00EB360A" w:rsidRPr="003E5510">
        <w:rPr>
          <w:rFonts w:ascii="Book Antiqua" w:hAnsi="Book Antiqua"/>
          <w:b/>
          <w:sz w:val="25"/>
          <w:szCs w:val="25"/>
        </w:rPr>
        <w:t xml:space="preserve">item </w:t>
      </w:r>
      <w:r w:rsidRPr="003E5510">
        <w:rPr>
          <w:rFonts w:ascii="Book Antiqua" w:hAnsi="Book Antiqua"/>
          <w:b/>
          <w:sz w:val="25"/>
          <w:szCs w:val="25"/>
        </w:rPr>
        <w:t>4</w:t>
      </w:r>
      <w:r w:rsidR="007861D9" w:rsidRPr="00C77509">
        <w:rPr>
          <w:rFonts w:ascii="Book Antiqua" w:hAnsi="Book Antiqua"/>
          <w:sz w:val="25"/>
          <w:szCs w:val="25"/>
        </w:rPr>
        <w:t xml:space="preserve"> deste </w:t>
      </w:r>
      <w:r w:rsidR="007D118B">
        <w:rPr>
          <w:rFonts w:ascii="Book Antiqua" w:hAnsi="Book Antiqua"/>
          <w:sz w:val="25"/>
          <w:szCs w:val="25"/>
        </w:rPr>
        <w:t>opinativo</w:t>
      </w:r>
      <w:r w:rsidR="00890BF5" w:rsidRPr="00C77509">
        <w:rPr>
          <w:rFonts w:ascii="Book Antiqua" w:hAnsi="Book Antiqua"/>
          <w:sz w:val="25"/>
          <w:szCs w:val="25"/>
        </w:rPr>
        <w:t>, ou aquelas que eventualmente sejam apresentadas pela senhora e senhores vereadores</w:t>
      </w:r>
      <w:r w:rsidR="007861D9" w:rsidRPr="00C77509">
        <w:rPr>
          <w:rFonts w:ascii="Book Antiqua" w:hAnsi="Book Antiqua"/>
          <w:sz w:val="25"/>
          <w:szCs w:val="25"/>
        </w:rPr>
        <w:t>, que poderão – se acatada a sugestão de Substitutivo – ser transportadas para o seu texto.</w:t>
      </w:r>
    </w:p>
    <w:p w:rsidR="00EB360A" w:rsidRPr="00C77509" w:rsidRDefault="00106281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Registro, por derradeiro, que e</w:t>
      </w:r>
      <w:r w:rsidR="00EB360A" w:rsidRPr="00C77509">
        <w:rPr>
          <w:rFonts w:ascii="Book Antiqua" w:hAnsi="Book Antiqua"/>
          <w:sz w:val="25"/>
          <w:szCs w:val="25"/>
        </w:rPr>
        <w:t xml:space="preserve">sta Assessoria Jurídica não adentra </w:t>
      </w:r>
      <w:r w:rsidR="007A7F1A" w:rsidRPr="00C77509">
        <w:rPr>
          <w:rFonts w:ascii="Book Antiqua" w:hAnsi="Book Antiqua"/>
          <w:sz w:val="25"/>
          <w:szCs w:val="25"/>
        </w:rPr>
        <w:t xml:space="preserve">– como de fato não pode adentrar - </w:t>
      </w:r>
      <w:r w:rsidR="00EB360A" w:rsidRPr="00C77509">
        <w:rPr>
          <w:rFonts w:ascii="Book Antiqua" w:hAnsi="Book Antiqua"/>
          <w:sz w:val="25"/>
          <w:szCs w:val="25"/>
        </w:rPr>
        <w:t>no mérito do projeto,</w:t>
      </w:r>
      <w:r w:rsidR="007861D9" w:rsidRPr="00C77509">
        <w:rPr>
          <w:rFonts w:ascii="Book Antiqua" w:hAnsi="Book Antiqua"/>
          <w:sz w:val="25"/>
          <w:szCs w:val="25"/>
        </w:rPr>
        <w:t xml:space="preserve"> </w:t>
      </w:r>
      <w:r w:rsidR="00D12C30" w:rsidRPr="00C77509">
        <w:rPr>
          <w:rFonts w:ascii="Book Antiqua" w:hAnsi="Book Antiqua"/>
          <w:sz w:val="25"/>
          <w:szCs w:val="25"/>
        </w:rPr>
        <w:t xml:space="preserve">não faz juízo de natureza política, </w:t>
      </w:r>
      <w:r w:rsidR="007861D9" w:rsidRPr="00C77509">
        <w:rPr>
          <w:rFonts w:ascii="Book Antiqua" w:hAnsi="Book Antiqua"/>
          <w:sz w:val="25"/>
          <w:szCs w:val="25"/>
        </w:rPr>
        <w:t>nem muito m</w:t>
      </w:r>
      <w:r w:rsidR="00890BF5" w:rsidRPr="00C77509">
        <w:rPr>
          <w:rFonts w:ascii="Book Antiqua" w:hAnsi="Book Antiqua"/>
          <w:sz w:val="25"/>
          <w:szCs w:val="25"/>
        </w:rPr>
        <w:t>enos</w:t>
      </w:r>
      <w:r w:rsidR="00E348FA" w:rsidRPr="00C77509">
        <w:rPr>
          <w:rFonts w:ascii="Book Antiqua" w:hAnsi="Book Antiqua"/>
          <w:sz w:val="25"/>
          <w:szCs w:val="25"/>
        </w:rPr>
        <w:t xml:space="preserve"> </w:t>
      </w:r>
      <w:r w:rsidR="00890BF5" w:rsidRPr="00C77509">
        <w:rPr>
          <w:rFonts w:ascii="Book Antiqua" w:hAnsi="Book Antiqua"/>
          <w:sz w:val="25"/>
          <w:szCs w:val="25"/>
        </w:rPr>
        <w:t>pode impor o acolhimento das suas sugestões ou recomendações,</w:t>
      </w:r>
      <w:r w:rsidR="00E348FA" w:rsidRPr="00C77509">
        <w:rPr>
          <w:rFonts w:ascii="Book Antiqua" w:hAnsi="Book Antiqua"/>
          <w:sz w:val="25"/>
          <w:szCs w:val="25"/>
        </w:rPr>
        <w:t xml:space="preserve"> </w:t>
      </w:r>
      <w:r w:rsidR="00890BF5" w:rsidRPr="00C77509">
        <w:rPr>
          <w:rFonts w:ascii="Book Antiqua" w:hAnsi="Book Antiqua"/>
          <w:sz w:val="25"/>
          <w:szCs w:val="25"/>
        </w:rPr>
        <w:t>como as aqui apresentadas, cujos atos são de</w:t>
      </w:r>
      <w:r w:rsidR="00E348FA" w:rsidRPr="00C77509">
        <w:rPr>
          <w:rFonts w:ascii="Book Antiqua" w:hAnsi="Book Antiqua"/>
          <w:sz w:val="25"/>
          <w:szCs w:val="25"/>
        </w:rPr>
        <w:t xml:space="preserve"> competência</w:t>
      </w:r>
      <w:r w:rsidR="002D1648" w:rsidRPr="00C77509">
        <w:rPr>
          <w:rFonts w:ascii="Book Antiqua" w:hAnsi="Book Antiqua"/>
          <w:sz w:val="25"/>
          <w:szCs w:val="25"/>
        </w:rPr>
        <w:t xml:space="preserve"> </w:t>
      </w:r>
      <w:r w:rsidR="00E348FA" w:rsidRPr="00C77509">
        <w:rPr>
          <w:rFonts w:ascii="Book Antiqua" w:hAnsi="Book Antiqua"/>
          <w:sz w:val="25"/>
          <w:szCs w:val="25"/>
        </w:rPr>
        <w:t>exclusiva</w:t>
      </w:r>
      <w:r w:rsidR="00890BF5" w:rsidRPr="00C77509">
        <w:rPr>
          <w:rFonts w:ascii="Book Antiqua" w:hAnsi="Book Antiqua"/>
          <w:sz w:val="25"/>
          <w:szCs w:val="25"/>
        </w:rPr>
        <w:t xml:space="preserve"> e privativa</w:t>
      </w:r>
      <w:r w:rsidR="00E348FA" w:rsidRPr="00C77509">
        <w:rPr>
          <w:rFonts w:ascii="Book Antiqua" w:hAnsi="Book Antiqua"/>
          <w:sz w:val="25"/>
          <w:szCs w:val="25"/>
        </w:rPr>
        <w:t xml:space="preserve"> d</w:t>
      </w:r>
      <w:r w:rsidR="007A7F1A" w:rsidRPr="00C77509">
        <w:rPr>
          <w:rFonts w:ascii="Book Antiqua" w:hAnsi="Book Antiqua"/>
          <w:sz w:val="25"/>
          <w:szCs w:val="25"/>
        </w:rPr>
        <w:t>a</w:t>
      </w:r>
      <w:r w:rsidR="00E348FA" w:rsidRPr="00C77509">
        <w:rPr>
          <w:rFonts w:ascii="Book Antiqua" w:hAnsi="Book Antiqua"/>
          <w:sz w:val="25"/>
          <w:szCs w:val="25"/>
        </w:rPr>
        <w:t xml:space="preserve"> </w:t>
      </w:r>
      <w:r w:rsidR="007A7F1A" w:rsidRPr="00C77509">
        <w:rPr>
          <w:rFonts w:ascii="Book Antiqua" w:hAnsi="Book Antiqua"/>
          <w:sz w:val="25"/>
          <w:szCs w:val="25"/>
        </w:rPr>
        <w:t xml:space="preserve">senhora e senhores </w:t>
      </w:r>
      <w:r w:rsidR="00E348FA" w:rsidRPr="00C77509">
        <w:rPr>
          <w:rFonts w:ascii="Book Antiqua" w:hAnsi="Book Antiqua"/>
          <w:sz w:val="25"/>
          <w:szCs w:val="25"/>
        </w:rPr>
        <w:t>parlamentares com assento nesta Augusta Casa Legislativa.</w:t>
      </w:r>
    </w:p>
    <w:p w:rsidR="00EB360A" w:rsidRPr="00C77509" w:rsidRDefault="00EB360A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É o parecer, sob censura.</w:t>
      </w:r>
    </w:p>
    <w:p w:rsidR="00EB360A" w:rsidRPr="00C77509" w:rsidRDefault="00EB360A" w:rsidP="00265541">
      <w:pPr>
        <w:spacing w:before="240" w:after="240" w:line="240" w:lineRule="auto"/>
        <w:ind w:firstLine="1701"/>
        <w:jc w:val="both"/>
        <w:rPr>
          <w:rFonts w:ascii="Book Antiqua" w:hAnsi="Book Antiqua"/>
          <w:sz w:val="25"/>
          <w:szCs w:val="25"/>
        </w:rPr>
      </w:pPr>
      <w:r w:rsidRPr="00C77509">
        <w:rPr>
          <w:rFonts w:ascii="Book Antiqua" w:hAnsi="Book Antiqua"/>
          <w:sz w:val="25"/>
          <w:szCs w:val="25"/>
        </w:rPr>
        <w:t>Câ</w:t>
      </w:r>
      <w:r w:rsidR="007861D9" w:rsidRPr="00C77509">
        <w:rPr>
          <w:rFonts w:ascii="Book Antiqua" w:hAnsi="Book Antiqua"/>
          <w:sz w:val="25"/>
          <w:szCs w:val="25"/>
        </w:rPr>
        <w:t xml:space="preserve">mara Municipal de Leopoldina, </w:t>
      </w:r>
      <w:r w:rsidR="00864A36">
        <w:rPr>
          <w:rFonts w:ascii="Book Antiqua" w:hAnsi="Book Antiqua"/>
          <w:sz w:val="25"/>
          <w:szCs w:val="25"/>
        </w:rPr>
        <w:t>19</w:t>
      </w:r>
      <w:r w:rsidRPr="00C77509">
        <w:rPr>
          <w:rFonts w:ascii="Book Antiqua" w:hAnsi="Book Antiqua"/>
          <w:sz w:val="25"/>
          <w:szCs w:val="25"/>
        </w:rPr>
        <w:t xml:space="preserve"> de janeiro de 2018.</w:t>
      </w:r>
    </w:p>
    <w:p w:rsidR="00EB360A" w:rsidRPr="00C77509" w:rsidRDefault="00EB360A" w:rsidP="00265541">
      <w:pPr>
        <w:spacing w:before="240" w:after="240" w:line="240" w:lineRule="auto"/>
        <w:jc w:val="both"/>
        <w:rPr>
          <w:rFonts w:ascii="Book Antiqua" w:hAnsi="Book Antiqua"/>
          <w:b/>
          <w:sz w:val="25"/>
          <w:szCs w:val="25"/>
        </w:rPr>
      </w:pPr>
    </w:p>
    <w:p w:rsidR="00EB360A" w:rsidRPr="00C77509" w:rsidRDefault="00E348FA" w:rsidP="007861D9">
      <w:pPr>
        <w:spacing w:after="0" w:line="240" w:lineRule="auto"/>
        <w:ind w:firstLine="1701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 xml:space="preserve">       </w:t>
      </w:r>
      <w:r w:rsidR="00EB360A" w:rsidRPr="00C77509">
        <w:rPr>
          <w:rFonts w:ascii="Book Antiqua" w:hAnsi="Book Antiqua"/>
          <w:b/>
          <w:sz w:val="25"/>
          <w:szCs w:val="25"/>
        </w:rPr>
        <w:t>EMANUEL ARAÚJO DE AZEVEDO ANTUNES</w:t>
      </w:r>
    </w:p>
    <w:p w:rsidR="00EB360A" w:rsidRPr="00C77509" w:rsidRDefault="00E348FA" w:rsidP="007861D9">
      <w:pPr>
        <w:spacing w:after="0" w:line="240" w:lineRule="auto"/>
        <w:jc w:val="both"/>
        <w:rPr>
          <w:rFonts w:ascii="Book Antiqua" w:hAnsi="Book Antiqua"/>
          <w:b/>
          <w:sz w:val="25"/>
          <w:szCs w:val="25"/>
        </w:rPr>
      </w:pPr>
      <w:r w:rsidRPr="00C77509">
        <w:rPr>
          <w:rFonts w:ascii="Book Antiqua" w:hAnsi="Book Antiqua"/>
          <w:b/>
          <w:sz w:val="25"/>
          <w:szCs w:val="25"/>
        </w:rPr>
        <w:t xml:space="preserve">                                               </w:t>
      </w:r>
      <w:r w:rsidR="00EB360A" w:rsidRPr="00C77509">
        <w:rPr>
          <w:rFonts w:ascii="Book Antiqua" w:hAnsi="Book Antiqua"/>
          <w:b/>
          <w:sz w:val="25"/>
          <w:szCs w:val="25"/>
        </w:rPr>
        <w:t>Assessor Jurídico – OAB/MG 82536</w:t>
      </w:r>
    </w:p>
    <w:sectPr w:rsidR="00EB360A" w:rsidRPr="00C77509" w:rsidSect="005769FD">
      <w:headerReference w:type="default" r:id="rId7"/>
      <w:footerReference w:type="default" r:id="rId8"/>
      <w:pgSz w:w="11906" w:h="16838"/>
      <w:pgMar w:top="1418" w:right="85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24" w:rsidRDefault="00820424" w:rsidP="00CB78BB">
      <w:pPr>
        <w:spacing w:after="0" w:line="240" w:lineRule="auto"/>
      </w:pPr>
      <w:r>
        <w:separator/>
      </w:r>
    </w:p>
  </w:endnote>
  <w:endnote w:type="continuationSeparator" w:id="1">
    <w:p w:rsidR="00820424" w:rsidRDefault="00820424" w:rsidP="00CB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47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5763" w:rsidRDefault="00F75763">
            <w:pPr>
              <w:pStyle w:val="Rodap"/>
            </w:pPr>
            <w:r>
              <w:t xml:space="preserve">Página </w:t>
            </w:r>
            <w:r w:rsidR="00CF25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F252E">
              <w:rPr>
                <w:b/>
                <w:sz w:val="24"/>
                <w:szCs w:val="24"/>
              </w:rPr>
              <w:fldChar w:fldCharType="separate"/>
            </w:r>
            <w:r w:rsidR="001C58FC">
              <w:rPr>
                <w:b/>
                <w:noProof/>
              </w:rPr>
              <w:t>16</w:t>
            </w:r>
            <w:r w:rsidR="00CF252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F25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F252E">
              <w:rPr>
                <w:b/>
                <w:sz w:val="24"/>
                <w:szCs w:val="24"/>
              </w:rPr>
              <w:fldChar w:fldCharType="separate"/>
            </w:r>
            <w:r w:rsidR="001C58FC">
              <w:rPr>
                <w:b/>
                <w:noProof/>
              </w:rPr>
              <w:t>16</w:t>
            </w:r>
            <w:r w:rsidR="00CF25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5763" w:rsidRDefault="00F757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24" w:rsidRDefault="00820424" w:rsidP="00CB78BB">
      <w:pPr>
        <w:spacing w:after="0" w:line="240" w:lineRule="auto"/>
      </w:pPr>
      <w:r>
        <w:separator/>
      </w:r>
    </w:p>
  </w:footnote>
  <w:footnote w:type="continuationSeparator" w:id="1">
    <w:p w:rsidR="00820424" w:rsidRDefault="00820424" w:rsidP="00CB78BB">
      <w:pPr>
        <w:spacing w:after="0" w:line="240" w:lineRule="auto"/>
      </w:pPr>
      <w:r>
        <w:continuationSeparator/>
      </w:r>
    </w:p>
  </w:footnote>
  <w:footnote w:id="2">
    <w:p w:rsidR="00F75763" w:rsidRDefault="00F75763" w:rsidP="007A7F1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Agravo de Instrumento Nº 1.361.217 - RS (2010/0194530-0), Relator Ministro Castro Meira, p. de 03/12/2010.</w:t>
      </w:r>
    </w:p>
  </w:footnote>
  <w:footnote w:id="3">
    <w:p w:rsidR="00F75763" w:rsidRPr="00C91C2D" w:rsidRDefault="00F75763" w:rsidP="0091625D">
      <w:pPr>
        <w:pStyle w:val="Textodenotaderodap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C91C2D">
        <w:rPr>
          <w:sz w:val="22"/>
          <w:szCs w:val="22"/>
        </w:rPr>
        <w:t xml:space="preserve">Disponível em </w:t>
      </w:r>
      <w:hyperlink r:id="rId1" w:history="1">
        <w:r w:rsidR="0091625D" w:rsidRPr="0091625D">
          <w:rPr>
            <w:rStyle w:val="Hyperlink"/>
            <w:color w:val="auto"/>
            <w:sz w:val="22"/>
            <w:szCs w:val="22"/>
            <w:u w:val="none"/>
          </w:rPr>
          <w:t>http://189.28.128.100/dab/docs/publicacoes/geral/pnab.pdf</w:t>
        </w:r>
      </w:hyperlink>
      <w:r w:rsidR="0091625D" w:rsidRPr="0091625D">
        <w:rPr>
          <w:sz w:val="22"/>
          <w:szCs w:val="22"/>
        </w:rPr>
        <w:t>, a</w:t>
      </w:r>
      <w:r w:rsidR="0091625D">
        <w:rPr>
          <w:sz w:val="22"/>
          <w:szCs w:val="22"/>
        </w:rPr>
        <w:t>cesso em 20/01/2018.</w:t>
      </w:r>
    </w:p>
  </w:footnote>
  <w:footnote w:id="4">
    <w:p w:rsidR="00F75763" w:rsidRDefault="00F75763" w:rsidP="002D5BF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COSTA. José Jorge da. Técnica Legislativa: procedimentos e normas.  Rio de Janeiro, Destaque: 1994, p. 75.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63" w:rsidRPr="00831CE4" w:rsidRDefault="00F75763" w:rsidP="009A7902">
    <w:pPr>
      <w:pStyle w:val="Cabealho"/>
      <w:jc w:val="center"/>
      <w:rPr>
        <w:b/>
        <w:bCs/>
        <w:sz w:val="32"/>
        <w:szCs w:val="32"/>
      </w:rPr>
    </w:pPr>
    <w:r w:rsidRPr="004A4412">
      <w:rPr>
        <w:noProof/>
        <w:lang w:eastAsia="pt-BR"/>
      </w:rPr>
      <w:drawing>
        <wp:inline distT="0" distB="0" distL="0" distR="0">
          <wp:extent cx="1095375" cy="10953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763" w:rsidRDefault="00F75763" w:rsidP="009A7902">
    <w:pPr>
      <w:pStyle w:val="Ttulo1"/>
      <w:jc w:val="center"/>
      <w:rPr>
        <w:rFonts w:asciiTheme="minorHAnsi" w:eastAsiaTheme="minorHAnsi" w:hAnsiTheme="minorHAnsi" w:cstheme="minorBidi"/>
        <w:b/>
        <w:bCs/>
        <w:sz w:val="32"/>
        <w:szCs w:val="32"/>
        <w:lang w:eastAsia="en-US"/>
      </w:rPr>
    </w:pPr>
    <w:r w:rsidRPr="00831CE4">
      <w:rPr>
        <w:rFonts w:asciiTheme="minorHAnsi" w:eastAsiaTheme="minorHAnsi" w:hAnsiTheme="minorHAnsi" w:cstheme="minorBidi"/>
        <w:b/>
        <w:bCs/>
        <w:sz w:val="32"/>
        <w:szCs w:val="32"/>
        <w:lang w:eastAsia="en-US"/>
      </w:rPr>
      <w:t xml:space="preserve">  Poder Legislativo</w:t>
    </w:r>
  </w:p>
  <w:p w:rsidR="00F75763" w:rsidRDefault="00F75763" w:rsidP="009A7902">
    <w:pPr>
      <w:pStyle w:val="Cabealho"/>
      <w:rPr>
        <w:b/>
        <w:bCs/>
        <w:sz w:val="32"/>
        <w:szCs w:val="32"/>
      </w:rPr>
    </w:pPr>
    <w:r w:rsidRPr="00485691">
      <w:rPr>
        <w:b/>
        <w:bCs/>
        <w:sz w:val="32"/>
        <w:szCs w:val="32"/>
      </w:rPr>
      <w:t xml:space="preserve">                 </w:t>
    </w:r>
    <w:r>
      <w:rPr>
        <w:b/>
        <w:bCs/>
        <w:sz w:val="32"/>
        <w:szCs w:val="32"/>
      </w:rPr>
      <w:t xml:space="preserve">         </w:t>
    </w:r>
    <w:r w:rsidRPr="00485691">
      <w:rPr>
        <w:b/>
        <w:bCs/>
        <w:sz w:val="32"/>
        <w:szCs w:val="32"/>
      </w:rPr>
      <w:t>CÂMARA MUNICIPAL DE LEOPOLDINA</w:t>
    </w:r>
  </w:p>
  <w:p w:rsidR="00F75763" w:rsidRDefault="00F75763" w:rsidP="001B29FC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        </w:t>
    </w:r>
    <w:r w:rsidRPr="00831CE4">
      <w:rPr>
        <w:b/>
        <w:bCs/>
        <w:sz w:val="32"/>
        <w:szCs w:val="32"/>
      </w:rPr>
      <w:t>Assessoria Jurídica</w:t>
    </w:r>
    <w:r>
      <w:rPr>
        <w:b/>
        <w:bCs/>
        <w:sz w:val="32"/>
        <w:szCs w:val="32"/>
      </w:rPr>
      <w:t xml:space="preserve"> </w:t>
    </w:r>
  </w:p>
  <w:p w:rsidR="00F75763" w:rsidRPr="001B29FC" w:rsidRDefault="00F75763" w:rsidP="001B29FC">
    <w:pPr>
      <w:pStyle w:val="Cabealho"/>
      <w:rPr>
        <w:b/>
      </w:rPr>
    </w:pPr>
    <w:r w:rsidRPr="001B29FC">
      <w:rPr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10E"/>
    <w:rsid w:val="000372EB"/>
    <w:rsid w:val="000A6F08"/>
    <w:rsid w:val="000D584E"/>
    <w:rsid w:val="00106281"/>
    <w:rsid w:val="00113E5D"/>
    <w:rsid w:val="00142CCB"/>
    <w:rsid w:val="00155014"/>
    <w:rsid w:val="001B29FC"/>
    <w:rsid w:val="001C58FC"/>
    <w:rsid w:val="001D474B"/>
    <w:rsid w:val="001D65EC"/>
    <w:rsid w:val="002004DF"/>
    <w:rsid w:val="002610F6"/>
    <w:rsid w:val="00265541"/>
    <w:rsid w:val="002D1648"/>
    <w:rsid w:val="002D1656"/>
    <w:rsid w:val="002D47C7"/>
    <w:rsid w:val="002D5BFA"/>
    <w:rsid w:val="00300640"/>
    <w:rsid w:val="00312006"/>
    <w:rsid w:val="0032511F"/>
    <w:rsid w:val="0037127B"/>
    <w:rsid w:val="003E5510"/>
    <w:rsid w:val="003F6B3F"/>
    <w:rsid w:val="00423C85"/>
    <w:rsid w:val="004425B2"/>
    <w:rsid w:val="00446556"/>
    <w:rsid w:val="00450AEA"/>
    <w:rsid w:val="00481B7B"/>
    <w:rsid w:val="00487A41"/>
    <w:rsid w:val="004A1A94"/>
    <w:rsid w:val="004B6000"/>
    <w:rsid w:val="004E706A"/>
    <w:rsid w:val="0054287A"/>
    <w:rsid w:val="005637F7"/>
    <w:rsid w:val="005769FD"/>
    <w:rsid w:val="005C0E44"/>
    <w:rsid w:val="00626F32"/>
    <w:rsid w:val="0065210E"/>
    <w:rsid w:val="00697572"/>
    <w:rsid w:val="006E012C"/>
    <w:rsid w:val="0070188B"/>
    <w:rsid w:val="00705323"/>
    <w:rsid w:val="00707367"/>
    <w:rsid w:val="00734A9B"/>
    <w:rsid w:val="00742BF2"/>
    <w:rsid w:val="007861D9"/>
    <w:rsid w:val="007918F0"/>
    <w:rsid w:val="007A5E67"/>
    <w:rsid w:val="007A7F1A"/>
    <w:rsid w:val="007D118B"/>
    <w:rsid w:val="007F14EE"/>
    <w:rsid w:val="00820424"/>
    <w:rsid w:val="00822362"/>
    <w:rsid w:val="00826A4E"/>
    <w:rsid w:val="00861E39"/>
    <w:rsid w:val="00864A36"/>
    <w:rsid w:val="00873DC9"/>
    <w:rsid w:val="00880563"/>
    <w:rsid w:val="00890BF5"/>
    <w:rsid w:val="008A57A9"/>
    <w:rsid w:val="008C5B68"/>
    <w:rsid w:val="008D4AD1"/>
    <w:rsid w:val="0091625D"/>
    <w:rsid w:val="00965B95"/>
    <w:rsid w:val="00970C11"/>
    <w:rsid w:val="00984BD4"/>
    <w:rsid w:val="009A7902"/>
    <w:rsid w:val="00A20F35"/>
    <w:rsid w:val="00A42B6B"/>
    <w:rsid w:val="00A56784"/>
    <w:rsid w:val="00AB3117"/>
    <w:rsid w:val="00B32A89"/>
    <w:rsid w:val="00B759B2"/>
    <w:rsid w:val="00BA3459"/>
    <w:rsid w:val="00BC4041"/>
    <w:rsid w:val="00BE354F"/>
    <w:rsid w:val="00BE5B15"/>
    <w:rsid w:val="00C116BA"/>
    <w:rsid w:val="00C165BA"/>
    <w:rsid w:val="00C37A89"/>
    <w:rsid w:val="00C64F86"/>
    <w:rsid w:val="00C77509"/>
    <w:rsid w:val="00C91C2D"/>
    <w:rsid w:val="00C9429B"/>
    <w:rsid w:val="00CB78BB"/>
    <w:rsid w:val="00CC45FF"/>
    <w:rsid w:val="00CF252E"/>
    <w:rsid w:val="00D10391"/>
    <w:rsid w:val="00D12C30"/>
    <w:rsid w:val="00D60982"/>
    <w:rsid w:val="00D81917"/>
    <w:rsid w:val="00D83D04"/>
    <w:rsid w:val="00DD4364"/>
    <w:rsid w:val="00E27E2C"/>
    <w:rsid w:val="00E30F66"/>
    <w:rsid w:val="00E348FA"/>
    <w:rsid w:val="00E640C7"/>
    <w:rsid w:val="00E960F2"/>
    <w:rsid w:val="00EA172B"/>
    <w:rsid w:val="00EB360A"/>
    <w:rsid w:val="00EE3EEF"/>
    <w:rsid w:val="00F037CD"/>
    <w:rsid w:val="00F70DF2"/>
    <w:rsid w:val="00F72A9F"/>
    <w:rsid w:val="00F75763"/>
    <w:rsid w:val="00F8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EE"/>
  </w:style>
  <w:style w:type="paragraph" w:styleId="Ttulo1">
    <w:name w:val="heading 1"/>
    <w:aliases w:val="título 1"/>
    <w:basedOn w:val="Normal"/>
    <w:next w:val="Normal"/>
    <w:link w:val="Ttulo1Char"/>
    <w:qFormat/>
    <w:rsid w:val="009A7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474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74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8B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8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78BB"/>
    <w:rPr>
      <w:vertAlign w:val="superscript"/>
    </w:rPr>
  </w:style>
  <w:style w:type="paragraph" w:styleId="Cabealho">
    <w:name w:val="header"/>
    <w:basedOn w:val="Normal"/>
    <w:link w:val="CabealhoChar"/>
    <w:unhideWhenUsed/>
    <w:rsid w:val="009A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902"/>
  </w:style>
  <w:style w:type="paragraph" w:styleId="Rodap">
    <w:name w:val="footer"/>
    <w:basedOn w:val="Normal"/>
    <w:link w:val="RodapChar"/>
    <w:uiPriority w:val="99"/>
    <w:unhideWhenUsed/>
    <w:rsid w:val="009A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902"/>
  </w:style>
  <w:style w:type="character" w:customStyle="1" w:styleId="Ttulo1Char">
    <w:name w:val="Título 1 Char"/>
    <w:aliases w:val="título 1 Char"/>
    <w:basedOn w:val="Fontepargpadro"/>
    <w:link w:val="Ttulo1"/>
    <w:rsid w:val="009A7902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20F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6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189.28.128.100/dab/docs/publicacoes/geral/pna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8D83-2FE2-4CC9-AD58-31230640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4490</Words>
  <Characters>24249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Servidor</cp:lastModifiedBy>
  <cp:revision>52</cp:revision>
  <cp:lastPrinted>2018-01-22T18:07:00Z</cp:lastPrinted>
  <dcterms:created xsi:type="dcterms:W3CDTF">2018-01-16T13:30:00Z</dcterms:created>
  <dcterms:modified xsi:type="dcterms:W3CDTF">2018-01-22T18:11:00Z</dcterms:modified>
</cp:coreProperties>
</file>