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EB4" w:rsidRPr="000F4B3D" w:rsidRDefault="00685EB4" w:rsidP="00685EB4">
      <w:pPr>
        <w:jc w:val="center"/>
        <w:rPr>
          <w:rStyle w:val="Forte"/>
          <w:rFonts w:ascii="Book Antiqua" w:hAnsi="Book Antiqua" w:cs="Arial"/>
          <w:sz w:val="23"/>
          <w:szCs w:val="23"/>
          <w:u w:val="single"/>
        </w:rPr>
      </w:pPr>
      <w:r w:rsidRPr="000F4B3D">
        <w:rPr>
          <w:rStyle w:val="Forte"/>
          <w:rFonts w:ascii="Book Antiqua" w:hAnsi="Book Antiqua" w:cs="Arial"/>
          <w:sz w:val="23"/>
          <w:szCs w:val="23"/>
          <w:u w:val="single"/>
        </w:rPr>
        <w:t>PARECER JURÍDICO</w:t>
      </w:r>
    </w:p>
    <w:p w:rsidR="00685EB4" w:rsidRPr="000F4B3D" w:rsidRDefault="000F4B3D" w:rsidP="00685EB4">
      <w:pPr>
        <w:jc w:val="both"/>
        <w:rPr>
          <w:rStyle w:val="Forte"/>
          <w:rFonts w:ascii="Book Antiqua" w:hAnsi="Book Antiqua" w:cs="Arial"/>
          <w:sz w:val="23"/>
          <w:szCs w:val="23"/>
        </w:rPr>
      </w:pPr>
      <w:r>
        <w:rPr>
          <w:rStyle w:val="Forte"/>
          <w:rFonts w:ascii="Book Antiqua" w:hAnsi="Book Antiqua" w:cs="Arial"/>
          <w:sz w:val="23"/>
          <w:szCs w:val="23"/>
        </w:rPr>
        <w:t xml:space="preserve">    </w:t>
      </w:r>
      <w:r w:rsidR="00685EB4" w:rsidRPr="000F4B3D">
        <w:rPr>
          <w:rStyle w:val="Forte"/>
          <w:rFonts w:ascii="Book Antiqua" w:hAnsi="Book Antiqua" w:cs="Arial"/>
          <w:sz w:val="23"/>
          <w:szCs w:val="23"/>
        </w:rPr>
        <w:t>ANEXO</w:t>
      </w:r>
      <w:r w:rsidR="00AF616B" w:rsidRPr="000F4B3D">
        <w:rPr>
          <w:rStyle w:val="Forte"/>
          <w:rFonts w:ascii="Book Antiqua" w:hAnsi="Book Antiqua" w:cs="Arial"/>
          <w:sz w:val="23"/>
          <w:szCs w:val="23"/>
        </w:rPr>
        <w:t xml:space="preserve"> AO</w:t>
      </w:r>
      <w:r w:rsidR="00685EB4" w:rsidRPr="000F4B3D">
        <w:rPr>
          <w:rStyle w:val="Forte"/>
          <w:rFonts w:ascii="Book Antiqua" w:hAnsi="Book Antiqua" w:cs="Arial"/>
          <w:sz w:val="23"/>
          <w:szCs w:val="23"/>
        </w:rPr>
        <w:t xml:space="preserve"> PROJETO DE LEI Nº 11, DE 6 DE FEVEREIRO DE 2018.</w:t>
      </w:r>
    </w:p>
    <w:p w:rsidR="00685EB4" w:rsidRPr="000F4B3D" w:rsidRDefault="00685EB4" w:rsidP="00685EB4">
      <w:pPr>
        <w:jc w:val="both"/>
        <w:rPr>
          <w:rStyle w:val="Forte"/>
          <w:rFonts w:ascii="Book Antiqua" w:hAnsi="Book Antiqua" w:cs="Arial"/>
          <w:b w:val="0"/>
          <w:sz w:val="23"/>
          <w:szCs w:val="23"/>
        </w:rPr>
      </w:pPr>
      <w:r w:rsidRPr="000F4B3D">
        <w:rPr>
          <w:rStyle w:val="Forte"/>
          <w:rFonts w:ascii="Book Antiqua" w:hAnsi="Book Antiqua" w:cs="Arial"/>
          <w:b w:val="0"/>
          <w:sz w:val="23"/>
          <w:szCs w:val="23"/>
        </w:rPr>
        <w:t xml:space="preserve"> EMENTA: “Dispõe sobre a obrigatoriedade da divulgação de listagens de pacientes que aguardam por consultas com especialistas, exames e cirurgias na rede pública municipal de saúde no âmbito do município de Leopoldina e dá outras providências.”</w:t>
      </w:r>
    </w:p>
    <w:p w:rsidR="00685EB4" w:rsidRPr="000F4B3D" w:rsidRDefault="00685EB4" w:rsidP="00685EB4">
      <w:pPr>
        <w:jc w:val="both"/>
        <w:rPr>
          <w:rFonts w:ascii="Book Antiqua" w:hAnsi="Book Antiqua" w:cs="Arial"/>
          <w:bCs/>
          <w:sz w:val="23"/>
          <w:szCs w:val="23"/>
          <w:u w:val="single"/>
        </w:rPr>
      </w:pPr>
      <w:r w:rsidRPr="000F4B3D">
        <w:rPr>
          <w:rStyle w:val="Forte"/>
          <w:rFonts w:ascii="Book Antiqua" w:hAnsi="Book Antiqua" w:cs="Arial"/>
          <w:b w:val="0"/>
          <w:sz w:val="23"/>
          <w:szCs w:val="23"/>
        </w:rPr>
        <w:t>Autoria: Vereador ROGÉRIO CAMPOS MACHADO - PR</w:t>
      </w:r>
    </w:p>
    <w:p w:rsidR="00FB1F59" w:rsidRPr="000F4B3D" w:rsidRDefault="00685EB4" w:rsidP="00685EB4">
      <w:pPr>
        <w:jc w:val="both"/>
        <w:rPr>
          <w:rFonts w:ascii="Book Antiqua" w:hAnsi="Book Antiqua"/>
          <w:b/>
          <w:sz w:val="23"/>
          <w:szCs w:val="23"/>
        </w:rPr>
      </w:pPr>
      <w:r w:rsidRPr="000F4B3D">
        <w:rPr>
          <w:rFonts w:ascii="Book Antiqua" w:hAnsi="Book Antiqua"/>
          <w:b/>
          <w:sz w:val="23"/>
          <w:szCs w:val="23"/>
        </w:rPr>
        <w:t xml:space="preserve">1 – DO </w:t>
      </w:r>
      <w:r w:rsidR="000F4B3D">
        <w:rPr>
          <w:rFonts w:ascii="Book Antiqua" w:hAnsi="Book Antiqua"/>
          <w:b/>
          <w:sz w:val="23"/>
          <w:szCs w:val="23"/>
        </w:rPr>
        <w:t xml:space="preserve">BREVE </w:t>
      </w:r>
      <w:r w:rsidRPr="000F4B3D">
        <w:rPr>
          <w:rFonts w:ascii="Book Antiqua" w:hAnsi="Book Antiqua"/>
          <w:b/>
          <w:sz w:val="23"/>
          <w:szCs w:val="23"/>
        </w:rPr>
        <w:t>RELATÓRIO</w:t>
      </w:r>
    </w:p>
    <w:p w:rsidR="00685EB4" w:rsidRPr="000F4B3D" w:rsidRDefault="00685EB4" w:rsidP="00685EB4">
      <w:pPr>
        <w:ind w:firstLine="1701"/>
        <w:jc w:val="both"/>
        <w:rPr>
          <w:rFonts w:ascii="Book Antiqua" w:hAnsi="Book Antiqua"/>
          <w:sz w:val="23"/>
          <w:szCs w:val="23"/>
        </w:rPr>
      </w:pPr>
      <w:r w:rsidRPr="000F4B3D">
        <w:rPr>
          <w:rFonts w:ascii="Book Antiqua" w:hAnsi="Book Antiqua"/>
          <w:sz w:val="23"/>
          <w:szCs w:val="23"/>
        </w:rPr>
        <w:t xml:space="preserve">Trata-se de Projeto de Lei, cuja ementa encontra-se em epígrafe, através do qual </w:t>
      </w:r>
      <w:r w:rsidR="00885E0F" w:rsidRPr="000F4B3D">
        <w:rPr>
          <w:rFonts w:ascii="Book Antiqua" w:hAnsi="Book Antiqua"/>
          <w:sz w:val="23"/>
          <w:szCs w:val="23"/>
        </w:rPr>
        <w:t xml:space="preserve">o seu autor </w:t>
      </w:r>
      <w:r w:rsidRPr="000F4B3D">
        <w:rPr>
          <w:rFonts w:ascii="Book Antiqua" w:hAnsi="Book Antiqua"/>
          <w:sz w:val="23"/>
          <w:szCs w:val="23"/>
        </w:rPr>
        <w:t xml:space="preserve">pretende </w:t>
      </w:r>
      <w:r w:rsidR="00885E0F" w:rsidRPr="000F4B3D">
        <w:rPr>
          <w:rFonts w:ascii="Book Antiqua" w:hAnsi="Book Antiqua"/>
          <w:sz w:val="23"/>
          <w:szCs w:val="23"/>
        </w:rPr>
        <w:t>inserir no ordenamento jurídico municipal, a</w:t>
      </w:r>
      <w:r w:rsidRPr="000F4B3D">
        <w:rPr>
          <w:rFonts w:ascii="Book Antiqua" w:hAnsi="Book Antiqua"/>
          <w:sz w:val="23"/>
          <w:szCs w:val="23"/>
        </w:rPr>
        <w:t xml:space="preserve"> divulgação por meio eletrônico das listagens dos pacientes que aguardam por consultas com especialistas, exames e cirurgias na rede pública de saúde do Município de Leopoldina, com acesso irrestrito no sítio eletrônico oficial da Prefeitura Municipal de Leopoldina.</w:t>
      </w:r>
    </w:p>
    <w:p w:rsidR="0092235F" w:rsidRPr="000F4B3D" w:rsidRDefault="0092235F" w:rsidP="0092235F">
      <w:pPr>
        <w:ind w:firstLine="1701"/>
        <w:jc w:val="both"/>
        <w:rPr>
          <w:rFonts w:ascii="Book Antiqua" w:hAnsi="Book Antiqua"/>
          <w:sz w:val="23"/>
          <w:szCs w:val="23"/>
        </w:rPr>
      </w:pPr>
      <w:r w:rsidRPr="000F4B3D">
        <w:rPr>
          <w:rFonts w:ascii="Book Antiqua" w:hAnsi="Book Antiqua"/>
          <w:sz w:val="23"/>
          <w:szCs w:val="23"/>
        </w:rPr>
        <w:t>O Projeto</w:t>
      </w:r>
      <w:r w:rsidR="000F4B3D">
        <w:rPr>
          <w:rFonts w:ascii="Book Antiqua" w:hAnsi="Book Antiqua"/>
          <w:sz w:val="23"/>
          <w:szCs w:val="23"/>
        </w:rPr>
        <w:t>, inserto às fls. 02/04 dos autos,</w:t>
      </w:r>
      <w:r w:rsidRPr="000F4B3D">
        <w:rPr>
          <w:rFonts w:ascii="Book Antiqua" w:hAnsi="Book Antiqua"/>
          <w:sz w:val="23"/>
          <w:szCs w:val="23"/>
        </w:rPr>
        <w:t xml:space="preserve"> é composto de dez artigos, devidamente divididos em parágrafos e incisos, corretamente articulados entre si, observada a boa técnica legislativa. </w:t>
      </w:r>
    </w:p>
    <w:p w:rsidR="00685EB4" w:rsidRDefault="00685EB4" w:rsidP="00685EB4">
      <w:pPr>
        <w:ind w:firstLine="1701"/>
        <w:jc w:val="both"/>
        <w:rPr>
          <w:rFonts w:ascii="Book Antiqua" w:hAnsi="Book Antiqua"/>
          <w:sz w:val="23"/>
          <w:szCs w:val="23"/>
        </w:rPr>
      </w:pPr>
      <w:r w:rsidRPr="000F4B3D">
        <w:rPr>
          <w:rFonts w:ascii="Book Antiqua" w:hAnsi="Book Antiqua"/>
          <w:sz w:val="23"/>
          <w:szCs w:val="23"/>
        </w:rPr>
        <w:t xml:space="preserve"> </w:t>
      </w:r>
      <w:r w:rsidR="0092235F" w:rsidRPr="000F4B3D">
        <w:rPr>
          <w:rFonts w:ascii="Book Antiqua" w:hAnsi="Book Antiqua"/>
          <w:sz w:val="23"/>
          <w:szCs w:val="23"/>
        </w:rPr>
        <w:t xml:space="preserve">No § 1º do artigo 1º do Projeto, o autor tratou de </w:t>
      </w:r>
      <w:r w:rsidRPr="000F4B3D">
        <w:rPr>
          <w:rFonts w:ascii="Book Antiqua" w:hAnsi="Book Antiqua"/>
          <w:sz w:val="23"/>
          <w:szCs w:val="23"/>
        </w:rPr>
        <w:t>resguarda</w:t>
      </w:r>
      <w:r w:rsidR="0092235F" w:rsidRPr="000F4B3D">
        <w:rPr>
          <w:rFonts w:ascii="Book Antiqua" w:hAnsi="Book Antiqua"/>
          <w:sz w:val="23"/>
          <w:szCs w:val="23"/>
        </w:rPr>
        <w:t>r</w:t>
      </w:r>
      <w:r w:rsidRPr="000F4B3D">
        <w:rPr>
          <w:rFonts w:ascii="Book Antiqua" w:hAnsi="Book Antiqua"/>
          <w:sz w:val="23"/>
          <w:szCs w:val="23"/>
        </w:rPr>
        <w:t xml:space="preserve"> o direito de privacidade dos pacientes, os quais seriam identificados nas listagens somente pelo núm</w:t>
      </w:r>
      <w:r w:rsidR="0092235F" w:rsidRPr="000F4B3D">
        <w:rPr>
          <w:rFonts w:ascii="Book Antiqua" w:hAnsi="Book Antiqua"/>
          <w:sz w:val="23"/>
          <w:szCs w:val="23"/>
        </w:rPr>
        <w:t>ero do Cartão Nacional de Saúde</w:t>
      </w:r>
      <w:r w:rsidR="000F4B3D" w:rsidRPr="000F4B3D">
        <w:rPr>
          <w:rFonts w:ascii="Book Antiqua" w:hAnsi="Book Antiqua"/>
          <w:sz w:val="23"/>
          <w:szCs w:val="23"/>
        </w:rPr>
        <w:t xml:space="preserve"> - CNS</w:t>
      </w:r>
      <w:r w:rsidR="0092235F" w:rsidRPr="000F4B3D">
        <w:rPr>
          <w:rFonts w:ascii="Book Antiqua" w:hAnsi="Book Antiqua"/>
          <w:sz w:val="23"/>
          <w:szCs w:val="23"/>
        </w:rPr>
        <w:t>, não havendo que falar em explicitação do nome do cidadão ou informação que o identifique externamente.</w:t>
      </w:r>
    </w:p>
    <w:p w:rsidR="000F4B3D" w:rsidRPr="000F4B3D" w:rsidRDefault="000F4B3D" w:rsidP="00685EB4">
      <w:pPr>
        <w:ind w:firstLine="1701"/>
        <w:jc w:val="both"/>
        <w:rPr>
          <w:rFonts w:ascii="Book Antiqua" w:hAnsi="Book Antiqua"/>
          <w:sz w:val="23"/>
          <w:szCs w:val="23"/>
        </w:rPr>
      </w:pPr>
      <w:r>
        <w:rPr>
          <w:rFonts w:ascii="Book Antiqua" w:hAnsi="Book Antiqua"/>
          <w:sz w:val="23"/>
          <w:szCs w:val="23"/>
        </w:rPr>
        <w:t xml:space="preserve">O texto original do Projeto contempla no artigo 9º o </w:t>
      </w:r>
      <w:r w:rsidRPr="000F4B3D">
        <w:rPr>
          <w:rFonts w:ascii="Book Antiqua" w:hAnsi="Book Antiqua"/>
          <w:i/>
          <w:sz w:val="23"/>
          <w:szCs w:val="23"/>
        </w:rPr>
        <w:t>“vacatio legis”,</w:t>
      </w:r>
      <w:r>
        <w:rPr>
          <w:rFonts w:ascii="Book Antiqua" w:hAnsi="Book Antiqua"/>
          <w:sz w:val="23"/>
          <w:szCs w:val="23"/>
        </w:rPr>
        <w:t xml:space="preserve"> ou seja, o período de vacância da lei, que é de 180 (cento e oitenta) dias, tempo que o legislador entendeu como prudente para a adoção das medidas visando a implementação da lei, inclusive para efeito de regulamentação. </w:t>
      </w:r>
    </w:p>
    <w:p w:rsidR="00685EB4" w:rsidRPr="000F4B3D" w:rsidRDefault="00656354" w:rsidP="003817FC">
      <w:pPr>
        <w:ind w:firstLine="1701"/>
        <w:jc w:val="both"/>
        <w:rPr>
          <w:rFonts w:ascii="Book Antiqua" w:hAnsi="Book Antiqua"/>
          <w:sz w:val="23"/>
          <w:szCs w:val="23"/>
        </w:rPr>
      </w:pPr>
      <w:r w:rsidRPr="000F4B3D">
        <w:rPr>
          <w:rFonts w:ascii="Book Antiqua" w:hAnsi="Book Antiqua"/>
          <w:sz w:val="23"/>
          <w:szCs w:val="23"/>
        </w:rPr>
        <w:t>Do necessário, é o relatório.</w:t>
      </w:r>
    </w:p>
    <w:p w:rsidR="00656354" w:rsidRPr="000F4B3D" w:rsidRDefault="00656354" w:rsidP="003817FC">
      <w:pPr>
        <w:ind w:firstLine="1701"/>
        <w:jc w:val="both"/>
        <w:rPr>
          <w:rFonts w:ascii="Book Antiqua" w:hAnsi="Book Antiqua"/>
          <w:sz w:val="23"/>
          <w:szCs w:val="23"/>
        </w:rPr>
      </w:pPr>
      <w:r w:rsidRPr="000F4B3D">
        <w:rPr>
          <w:rFonts w:ascii="Book Antiqua" w:hAnsi="Book Antiqua"/>
          <w:sz w:val="23"/>
          <w:szCs w:val="23"/>
        </w:rPr>
        <w:lastRenderedPageBreak/>
        <w:t>Passamos à análise da matéria</w:t>
      </w:r>
      <w:r w:rsidR="003817FC" w:rsidRPr="000F4B3D">
        <w:rPr>
          <w:rFonts w:ascii="Book Antiqua" w:hAnsi="Book Antiqua"/>
          <w:sz w:val="23"/>
          <w:szCs w:val="23"/>
        </w:rPr>
        <w:t>.</w:t>
      </w:r>
    </w:p>
    <w:p w:rsidR="00685EB4" w:rsidRPr="000F4B3D" w:rsidRDefault="00685EB4" w:rsidP="00685EB4">
      <w:pPr>
        <w:jc w:val="both"/>
        <w:rPr>
          <w:rFonts w:ascii="Book Antiqua" w:hAnsi="Book Antiqua"/>
          <w:b/>
          <w:sz w:val="23"/>
          <w:szCs w:val="23"/>
        </w:rPr>
      </w:pPr>
      <w:r w:rsidRPr="000F4B3D">
        <w:rPr>
          <w:rFonts w:ascii="Book Antiqua" w:hAnsi="Book Antiqua"/>
          <w:b/>
          <w:sz w:val="23"/>
          <w:szCs w:val="23"/>
        </w:rPr>
        <w:t xml:space="preserve">2 – DOS FUNDAMENTOS </w:t>
      </w:r>
    </w:p>
    <w:p w:rsidR="00685EB4" w:rsidRPr="000F4B3D" w:rsidRDefault="00685EB4" w:rsidP="003817FC">
      <w:pPr>
        <w:ind w:left="1701"/>
        <w:jc w:val="both"/>
        <w:rPr>
          <w:rFonts w:ascii="Book Antiqua" w:hAnsi="Book Antiqua"/>
          <w:sz w:val="23"/>
          <w:szCs w:val="23"/>
        </w:rPr>
      </w:pPr>
      <w:r w:rsidRPr="000F4B3D">
        <w:rPr>
          <w:rFonts w:ascii="Book Antiqua" w:hAnsi="Book Antiqua"/>
          <w:sz w:val="23"/>
          <w:szCs w:val="23"/>
          <w:u w:val="single"/>
        </w:rPr>
        <w:t>EMENTA</w:t>
      </w:r>
      <w:r w:rsidRPr="000F4B3D">
        <w:rPr>
          <w:rFonts w:ascii="Book Antiqua" w:hAnsi="Book Antiqua"/>
          <w:sz w:val="23"/>
          <w:szCs w:val="23"/>
        </w:rPr>
        <w:t xml:space="preserve">: </w:t>
      </w:r>
      <w:r w:rsidR="00645785" w:rsidRPr="000F4B3D">
        <w:rPr>
          <w:rFonts w:ascii="Book Antiqua" w:hAnsi="Book Antiqua"/>
          <w:sz w:val="23"/>
          <w:szCs w:val="23"/>
        </w:rPr>
        <w:t>PROJETO DE INCIATIVA PARLAMENTAR. OBRIGATORIEDADE DA DIVULGAÇÃO DE LISTAS DE PACIENTES QUE AGUARDAM CIRURGIAS E PROCEDIMENTOS. COMPETÊNCIA LEGISLATIVA COMUM.</w:t>
      </w:r>
      <w:r w:rsidR="003817FC" w:rsidRPr="000F4B3D">
        <w:rPr>
          <w:rFonts w:ascii="Book Antiqua" w:hAnsi="Book Antiqua"/>
          <w:sz w:val="23"/>
          <w:szCs w:val="23"/>
        </w:rPr>
        <w:t xml:space="preserve"> AUSÊNCIA DE AUMENTO DE DESPESA. </w:t>
      </w:r>
      <w:r w:rsidR="00856B87">
        <w:rPr>
          <w:rFonts w:ascii="Book Antiqua" w:hAnsi="Book Antiqua"/>
          <w:sz w:val="23"/>
          <w:szCs w:val="23"/>
        </w:rPr>
        <w:t xml:space="preserve">INOCORRÊNCIA DE VÍCIO DE INICIATIVA. </w:t>
      </w:r>
      <w:r w:rsidR="003817FC" w:rsidRPr="000F4B3D">
        <w:rPr>
          <w:rFonts w:ascii="Book Antiqua" w:hAnsi="Book Antiqua"/>
          <w:sz w:val="23"/>
          <w:szCs w:val="23"/>
        </w:rPr>
        <w:t>CONSTITUCIONALIDADE.</w:t>
      </w:r>
      <w:r w:rsidR="000F4B3D">
        <w:rPr>
          <w:rFonts w:ascii="Book Antiqua" w:hAnsi="Book Antiqua"/>
          <w:sz w:val="23"/>
          <w:szCs w:val="23"/>
        </w:rPr>
        <w:t xml:space="preserve"> OBSERVÂNCIA DO</w:t>
      </w:r>
      <w:r w:rsidR="000F4B3D" w:rsidRPr="000F4B3D">
        <w:rPr>
          <w:rFonts w:ascii="Book Antiqua" w:hAnsi="Book Antiqua"/>
          <w:sz w:val="23"/>
          <w:szCs w:val="23"/>
        </w:rPr>
        <w:t xml:space="preserve"> PRINCÍPIO DA TRANSPARÊNCIA.</w:t>
      </w:r>
      <w:r w:rsidR="000F4B3D">
        <w:rPr>
          <w:rFonts w:ascii="Book Antiqua" w:hAnsi="Book Antiqua"/>
          <w:sz w:val="23"/>
          <w:szCs w:val="23"/>
        </w:rPr>
        <w:t xml:space="preserve"> PRECEDENTES JURISPRUDENCIAIS</w:t>
      </w:r>
      <w:r w:rsidR="00645785" w:rsidRPr="000F4B3D">
        <w:rPr>
          <w:rFonts w:ascii="Book Antiqua" w:hAnsi="Book Antiqua"/>
          <w:sz w:val="23"/>
          <w:szCs w:val="23"/>
        </w:rPr>
        <w:t>.</w:t>
      </w:r>
      <w:r w:rsidR="00AF616B" w:rsidRPr="000F4B3D">
        <w:rPr>
          <w:rFonts w:ascii="Book Antiqua" w:hAnsi="Book Antiqua"/>
          <w:sz w:val="23"/>
          <w:szCs w:val="23"/>
        </w:rPr>
        <w:t xml:space="preserve"> SUGESTÃO DE EMENDAS MODIFICATIVAS E REDAÇÃO FINAL.</w:t>
      </w:r>
    </w:p>
    <w:p w:rsidR="00291377" w:rsidRPr="000F4B3D" w:rsidRDefault="00291377" w:rsidP="0092235F">
      <w:pPr>
        <w:ind w:firstLine="1701"/>
        <w:jc w:val="both"/>
        <w:rPr>
          <w:rFonts w:ascii="Book Antiqua" w:hAnsi="Book Antiqua"/>
          <w:sz w:val="23"/>
          <w:szCs w:val="23"/>
        </w:rPr>
      </w:pPr>
      <w:r w:rsidRPr="000F4B3D">
        <w:rPr>
          <w:rFonts w:ascii="Book Antiqua" w:hAnsi="Book Antiqua"/>
          <w:sz w:val="23"/>
          <w:szCs w:val="23"/>
        </w:rPr>
        <w:t>Segundo o vereador Rogério Campos Machado, autor do Projeto, na justificativa apresentada</w:t>
      </w:r>
      <w:r w:rsidR="0092235F" w:rsidRPr="000F4B3D">
        <w:rPr>
          <w:rFonts w:ascii="Book Antiqua" w:hAnsi="Book Antiqua"/>
          <w:sz w:val="23"/>
          <w:szCs w:val="23"/>
        </w:rPr>
        <w:t xml:space="preserve"> às fls. 05</w:t>
      </w:r>
      <w:r w:rsidRPr="000F4B3D">
        <w:rPr>
          <w:rFonts w:ascii="Book Antiqua" w:hAnsi="Book Antiqua"/>
          <w:sz w:val="23"/>
          <w:szCs w:val="23"/>
        </w:rPr>
        <w:t xml:space="preserve">, o objetivo é “dar a necessária e indispensável” transparência “as tão obscuras listas de esperas na rede pública”, possibilitando ao seu usuário fazer o acompanhamento de sua progressão na fila de espera por cirurgias, consultas e/ou exames. </w:t>
      </w:r>
    </w:p>
    <w:p w:rsidR="00291377" w:rsidRPr="000F4B3D" w:rsidRDefault="00291377" w:rsidP="00291377">
      <w:pPr>
        <w:ind w:firstLine="1701"/>
        <w:jc w:val="both"/>
        <w:rPr>
          <w:rFonts w:ascii="Book Antiqua" w:hAnsi="Book Antiqua"/>
          <w:sz w:val="23"/>
          <w:szCs w:val="23"/>
        </w:rPr>
      </w:pPr>
      <w:r w:rsidRPr="000F4B3D">
        <w:rPr>
          <w:rFonts w:ascii="Book Antiqua" w:hAnsi="Book Antiqua"/>
          <w:sz w:val="23"/>
          <w:szCs w:val="23"/>
        </w:rPr>
        <w:t>Outro objetivo, segundo o parlamentar, “é coibir que a ordem de inscrição das filas seja desrespeitada por meio de interferência indevida de agentes públicos visando benefícios próprios ou de terceiros.”</w:t>
      </w:r>
    </w:p>
    <w:p w:rsidR="003817FC" w:rsidRPr="000F4B3D" w:rsidRDefault="003817FC" w:rsidP="00291377">
      <w:pPr>
        <w:ind w:firstLine="1701"/>
        <w:jc w:val="both"/>
        <w:rPr>
          <w:rFonts w:ascii="Book Antiqua" w:hAnsi="Book Antiqua"/>
          <w:sz w:val="23"/>
          <w:szCs w:val="23"/>
        </w:rPr>
      </w:pPr>
      <w:r w:rsidRPr="000F4B3D">
        <w:rPr>
          <w:rFonts w:ascii="Book Antiqua" w:hAnsi="Book Antiqua"/>
          <w:sz w:val="23"/>
          <w:szCs w:val="23"/>
        </w:rPr>
        <w:t>Uma questão de notável relevo é que o projeto de lei em análise preserva a identidade dos cidadãos usuários dos serviços prestados pelo Sistema Único de Saúde (SUS) no âmbito do município de Leopoldina, quando prevê a utilização do número do cartão SUS, não havendo a explicitação do nome da pessoa, estando resguardado o sigilo. Preservada, portanto, a intimidade,</w:t>
      </w:r>
      <w:r w:rsidR="000F4B3D">
        <w:rPr>
          <w:rFonts w:ascii="Book Antiqua" w:hAnsi="Book Antiqua"/>
          <w:sz w:val="23"/>
          <w:szCs w:val="23"/>
        </w:rPr>
        <w:t xml:space="preserve"> direito</w:t>
      </w:r>
      <w:r w:rsidRPr="000F4B3D">
        <w:rPr>
          <w:rFonts w:ascii="Book Antiqua" w:hAnsi="Book Antiqua"/>
          <w:sz w:val="23"/>
          <w:szCs w:val="23"/>
        </w:rPr>
        <w:t xml:space="preserve"> guardad</w:t>
      </w:r>
      <w:r w:rsidR="000F4B3D">
        <w:rPr>
          <w:rFonts w:ascii="Book Antiqua" w:hAnsi="Book Antiqua"/>
          <w:sz w:val="23"/>
          <w:szCs w:val="23"/>
        </w:rPr>
        <w:t>o</w:t>
      </w:r>
      <w:r w:rsidRPr="000F4B3D">
        <w:rPr>
          <w:rFonts w:ascii="Book Antiqua" w:hAnsi="Book Antiqua"/>
          <w:sz w:val="23"/>
          <w:szCs w:val="23"/>
        </w:rPr>
        <w:t xml:space="preserve"> por norma de í</w:t>
      </w:r>
      <w:r w:rsidR="00427ABA">
        <w:rPr>
          <w:rFonts w:ascii="Book Antiqua" w:hAnsi="Book Antiqua"/>
          <w:sz w:val="23"/>
          <w:szCs w:val="23"/>
        </w:rPr>
        <w:t>ndole constitucional (art. 5º</w:t>
      </w:r>
      <w:r w:rsidRPr="000F4B3D">
        <w:rPr>
          <w:rFonts w:ascii="Book Antiqua" w:hAnsi="Book Antiqua"/>
          <w:sz w:val="23"/>
          <w:szCs w:val="23"/>
        </w:rPr>
        <w:t>,</w:t>
      </w:r>
      <w:r w:rsidR="00427ABA">
        <w:rPr>
          <w:rFonts w:ascii="Book Antiqua" w:hAnsi="Book Antiqua"/>
          <w:sz w:val="23"/>
          <w:szCs w:val="23"/>
        </w:rPr>
        <w:t xml:space="preserve"> inciso X,</w:t>
      </w:r>
      <w:r w:rsidRPr="000F4B3D">
        <w:rPr>
          <w:rFonts w:ascii="Book Antiqua" w:hAnsi="Book Antiqua"/>
          <w:sz w:val="23"/>
          <w:szCs w:val="23"/>
        </w:rPr>
        <w:t xml:space="preserve"> CR/88).</w:t>
      </w:r>
    </w:p>
    <w:p w:rsidR="0092235F" w:rsidRPr="000F4B3D" w:rsidRDefault="0092235F" w:rsidP="00291377">
      <w:pPr>
        <w:ind w:firstLine="1701"/>
        <w:jc w:val="both"/>
        <w:rPr>
          <w:rFonts w:ascii="Book Antiqua" w:hAnsi="Book Antiqua"/>
          <w:sz w:val="23"/>
          <w:szCs w:val="23"/>
        </w:rPr>
      </w:pPr>
      <w:r w:rsidRPr="000F4B3D">
        <w:rPr>
          <w:rFonts w:ascii="Book Antiqua" w:hAnsi="Book Antiqua"/>
          <w:sz w:val="23"/>
          <w:szCs w:val="23"/>
        </w:rPr>
        <w:t>Entendemos que a matéria em exame se reveste de constitucionalidade, juridicidade e legalidade, podendo tramitar n</w:t>
      </w:r>
      <w:r w:rsidR="000F4B3D" w:rsidRPr="000F4B3D">
        <w:rPr>
          <w:rFonts w:ascii="Book Antiqua" w:hAnsi="Book Antiqua"/>
          <w:sz w:val="23"/>
          <w:szCs w:val="23"/>
        </w:rPr>
        <w:t>o âmbito desta Casa Legislativa, se observadas as recomendações descritas no item 3 deste opinativo.</w:t>
      </w:r>
    </w:p>
    <w:p w:rsidR="000F4B3D" w:rsidRDefault="000F4B3D" w:rsidP="00CA3075">
      <w:pPr>
        <w:ind w:firstLine="1843"/>
        <w:jc w:val="both"/>
        <w:rPr>
          <w:rFonts w:ascii="Book Antiqua" w:hAnsi="Book Antiqua"/>
          <w:sz w:val="23"/>
          <w:szCs w:val="23"/>
        </w:rPr>
      </w:pPr>
      <w:r>
        <w:rPr>
          <w:rFonts w:ascii="Book Antiqua" w:hAnsi="Book Antiqua"/>
          <w:sz w:val="23"/>
          <w:szCs w:val="23"/>
        </w:rPr>
        <w:lastRenderedPageBreak/>
        <w:t>Não há dúvida que a transparência é uma exigência da sociedade, que cada vez mais cônscia dos seus direitos, não tolera mais qualquer ato</w:t>
      </w:r>
      <w:r w:rsidR="00DE5646">
        <w:rPr>
          <w:rFonts w:ascii="Book Antiqua" w:hAnsi="Book Antiqua"/>
          <w:sz w:val="23"/>
          <w:szCs w:val="23"/>
        </w:rPr>
        <w:t xml:space="preserve"> administrativo ou conduta</w:t>
      </w:r>
      <w:r>
        <w:rPr>
          <w:rFonts w:ascii="Book Antiqua" w:hAnsi="Book Antiqua"/>
          <w:sz w:val="23"/>
          <w:szCs w:val="23"/>
        </w:rPr>
        <w:t xml:space="preserve"> tendente a regatear esse exercício</w:t>
      </w:r>
      <w:r w:rsidR="00DE5646">
        <w:rPr>
          <w:rFonts w:ascii="Book Antiqua" w:hAnsi="Book Antiqua"/>
          <w:sz w:val="23"/>
          <w:szCs w:val="23"/>
        </w:rPr>
        <w:t>.</w:t>
      </w:r>
    </w:p>
    <w:p w:rsidR="00CA3075" w:rsidRPr="000F4B3D" w:rsidRDefault="00856B87" w:rsidP="00CA3075">
      <w:pPr>
        <w:ind w:firstLine="1843"/>
        <w:jc w:val="both"/>
        <w:rPr>
          <w:rFonts w:ascii="Book Antiqua" w:hAnsi="Book Antiqua"/>
          <w:sz w:val="23"/>
          <w:szCs w:val="23"/>
        </w:rPr>
      </w:pPr>
      <w:r>
        <w:rPr>
          <w:rFonts w:ascii="Book Antiqua" w:hAnsi="Book Antiqua"/>
          <w:sz w:val="23"/>
          <w:szCs w:val="23"/>
        </w:rPr>
        <w:t>Neste contexto, r</w:t>
      </w:r>
      <w:r w:rsidR="0092235F" w:rsidRPr="000F4B3D">
        <w:rPr>
          <w:rFonts w:ascii="Book Antiqua" w:hAnsi="Book Antiqua"/>
          <w:sz w:val="23"/>
          <w:szCs w:val="23"/>
        </w:rPr>
        <w:t>egistramos, por oportuno, que a</w:t>
      </w:r>
      <w:r w:rsidR="00885E0F" w:rsidRPr="000F4B3D">
        <w:rPr>
          <w:rFonts w:ascii="Book Antiqua" w:hAnsi="Book Antiqua"/>
          <w:sz w:val="23"/>
          <w:szCs w:val="23"/>
        </w:rPr>
        <w:t xml:space="preserve"> matéria não é</w:t>
      </w:r>
      <w:r w:rsidR="00291377" w:rsidRPr="000F4B3D">
        <w:rPr>
          <w:rFonts w:ascii="Book Antiqua" w:hAnsi="Book Antiqua"/>
          <w:sz w:val="23"/>
          <w:szCs w:val="23"/>
        </w:rPr>
        <w:t xml:space="preserve"> estranha aos Tribunais pátrios, que vem julgando matéria idêntica ou semelhante, e a considerando constitucional.</w:t>
      </w:r>
    </w:p>
    <w:p w:rsidR="00291377" w:rsidRPr="000F4B3D" w:rsidRDefault="00885E0F" w:rsidP="00CA3075">
      <w:pPr>
        <w:ind w:firstLine="1843"/>
        <w:jc w:val="both"/>
        <w:rPr>
          <w:rFonts w:ascii="Book Antiqua" w:hAnsi="Book Antiqua"/>
          <w:sz w:val="23"/>
          <w:szCs w:val="23"/>
        </w:rPr>
      </w:pPr>
      <w:r w:rsidRPr="000F4B3D">
        <w:rPr>
          <w:rFonts w:ascii="Book Antiqua" w:hAnsi="Book Antiqua"/>
          <w:sz w:val="23"/>
          <w:szCs w:val="23"/>
        </w:rPr>
        <w:t xml:space="preserve">O </w:t>
      </w:r>
      <w:r w:rsidR="003817FC" w:rsidRPr="000F4B3D">
        <w:rPr>
          <w:rFonts w:ascii="Book Antiqua" w:hAnsi="Book Antiqua"/>
          <w:sz w:val="23"/>
          <w:szCs w:val="23"/>
        </w:rPr>
        <w:t>TRIBUNAL DE JUSTIÇA DO ESTADO DE SÃO PAULO</w:t>
      </w:r>
      <w:r w:rsidRPr="000F4B3D">
        <w:rPr>
          <w:rFonts w:ascii="Book Antiqua" w:hAnsi="Book Antiqua"/>
          <w:sz w:val="23"/>
          <w:szCs w:val="23"/>
        </w:rPr>
        <w:t>, ao examinar uma Ação Direta de Inconstitucionalidade,</w:t>
      </w:r>
      <w:r w:rsidR="00CA3075" w:rsidRPr="000F4B3D">
        <w:rPr>
          <w:rFonts w:ascii="Book Antiqua" w:hAnsi="Book Antiqua"/>
          <w:sz w:val="23"/>
          <w:szCs w:val="23"/>
        </w:rPr>
        <w:t xml:space="preserve"> proposta pelo </w:t>
      </w:r>
      <w:r w:rsidRPr="000F4B3D">
        <w:rPr>
          <w:rFonts w:ascii="Book Antiqua" w:hAnsi="Book Antiqua"/>
          <w:sz w:val="23"/>
          <w:szCs w:val="23"/>
        </w:rPr>
        <w:t xml:space="preserve">Município de Ribeirão Preto, </w:t>
      </w:r>
      <w:r w:rsidR="00CA3075" w:rsidRPr="000F4B3D">
        <w:rPr>
          <w:rFonts w:ascii="Book Antiqua" w:hAnsi="Book Antiqua"/>
          <w:sz w:val="23"/>
          <w:szCs w:val="23"/>
        </w:rPr>
        <w:t>a julgou improcedente, mantendo-se, portanto, incólume o texto da lei vergastada</w:t>
      </w:r>
      <w:r w:rsidR="00291377" w:rsidRPr="000F4B3D">
        <w:rPr>
          <w:rFonts w:ascii="Book Antiqua" w:hAnsi="Book Antiqua"/>
          <w:sz w:val="23"/>
          <w:szCs w:val="23"/>
        </w:rPr>
        <w:t>, cujo projeto foi de iniciativa parlamentar, como se verifica aqui.</w:t>
      </w:r>
    </w:p>
    <w:p w:rsidR="00CA3075" w:rsidRPr="000F4B3D" w:rsidRDefault="00885E0F" w:rsidP="00CA3075">
      <w:pPr>
        <w:ind w:firstLine="1843"/>
        <w:jc w:val="both"/>
        <w:rPr>
          <w:rFonts w:ascii="Book Antiqua" w:hAnsi="Book Antiqua"/>
          <w:sz w:val="23"/>
          <w:szCs w:val="23"/>
        </w:rPr>
      </w:pPr>
      <w:r w:rsidRPr="000F4B3D">
        <w:rPr>
          <w:rFonts w:ascii="Book Antiqua" w:hAnsi="Book Antiqua"/>
          <w:sz w:val="23"/>
          <w:szCs w:val="23"/>
        </w:rPr>
        <w:t xml:space="preserve"> </w:t>
      </w:r>
      <w:r w:rsidR="00CA3075" w:rsidRPr="000F4B3D">
        <w:rPr>
          <w:rFonts w:ascii="Book Antiqua" w:hAnsi="Book Antiqua"/>
          <w:sz w:val="23"/>
          <w:szCs w:val="23"/>
        </w:rPr>
        <w:t>A matéria julgada restou assim ementada:</w:t>
      </w:r>
    </w:p>
    <w:p w:rsidR="00CA3075" w:rsidRPr="000F4B3D" w:rsidRDefault="00CA3075" w:rsidP="00CA3075">
      <w:pPr>
        <w:ind w:left="2552"/>
        <w:jc w:val="both"/>
        <w:rPr>
          <w:rFonts w:ascii="Book Antiqua" w:hAnsi="Book Antiqua"/>
          <w:sz w:val="23"/>
          <w:szCs w:val="23"/>
        </w:rPr>
      </w:pPr>
      <w:r w:rsidRPr="000F4B3D">
        <w:rPr>
          <w:rFonts w:ascii="Book Antiqua" w:hAnsi="Book Antiqua"/>
          <w:sz w:val="23"/>
          <w:szCs w:val="23"/>
        </w:rPr>
        <w:t xml:space="preserve">“Ação direta de inconstitucionalidade. Lei de iniciativa parlamentar que dispõe sobre “a obrigatoriedade de </w:t>
      </w:r>
      <w:r w:rsidRPr="000F4B3D">
        <w:rPr>
          <w:rFonts w:ascii="Book Antiqua" w:hAnsi="Book Antiqua"/>
          <w:b/>
          <w:sz w:val="23"/>
          <w:szCs w:val="23"/>
        </w:rPr>
        <w:t>divulgação de listagens de pacientes que aguardam por consultas de especialistas, exames e cirurgias na rede pública municipal”</w:t>
      </w:r>
      <w:r w:rsidRPr="000F4B3D">
        <w:rPr>
          <w:rFonts w:ascii="Book Antiqua" w:hAnsi="Book Antiqua"/>
          <w:sz w:val="23"/>
          <w:szCs w:val="23"/>
        </w:rPr>
        <w:t xml:space="preserve"> na Comarca de Ribeirão Preto – </w:t>
      </w:r>
      <w:r w:rsidRPr="000F4B3D">
        <w:rPr>
          <w:rFonts w:ascii="Book Antiqua" w:hAnsi="Book Antiqua"/>
          <w:b/>
          <w:sz w:val="23"/>
          <w:szCs w:val="23"/>
        </w:rPr>
        <w:t>Iniciativa comum, que não gera despesas para a Municipalidade – Inocorrência de vício</w:t>
      </w:r>
      <w:r w:rsidRPr="000F4B3D">
        <w:rPr>
          <w:rFonts w:ascii="Book Antiqua" w:hAnsi="Book Antiqua"/>
          <w:sz w:val="23"/>
          <w:szCs w:val="23"/>
        </w:rPr>
        <w:t xml:space="preserve"> – Reserva de iniciativa do Poder Executivo elencada numerus clausus no art. 24, § 2º, da Constituição Estadual e artigo 61 da Constituição da República. - Improcedência da ação. (TJSP – ADIN Nº 2011396-52.2014.8.26.0000 – Ribeirão Preto). - negritamos</w:t>
      </w:r>
    </w:p>
    <w:p w:rsidR="00CA3075" w:rsidRPr="000F4B3D" w:rsidRDefault="00CA3075" w:rsidP="00CA3075">
      <w:pPr>
        <w:ind w:firstLine="1701"/>
        <w:jc w:val="both"/>
        <w:rPr>
          <w:rFonts w:ascii="Book Antiqua" w:hAnsi="Book Antiqua"/>
          <w:sz w:val="23"/>
          <w:szCs w:val="23"/>
        </w:rPr>
      </w:pPr>
      <w:r w:rsidRPr="000F4B3D">
        <w:rPr>
          <w:rFonts w:ascii="Book Antiqua" w:hAnsi="Book Antiqua"/>
          <w:sz w:val="23"/>
          <w:szCs w:val="23"/>
        </w:rPr>
        <w:t xml:space="preserve">O Tribunal de Justiça do Estado de São Paulo decidiu que a iniciativa de projeto de lei, voltado à ampliação da transparência dos serviços públicos, não viola o princípio da separação dos poderes. </w:t>
      </w:r>
    </w:p>
    <w:p w:rsidR="00CA3075" w:rsidRPr="000F4B3D" w:rsidRDefault="00CA3075" w:rsidP="00CA3075">
      <w:pPr>
        <w:ind w:firstLine="1701"/>
        <w:jc w:val="both"/>
        <w:rPr>
          <w:rFonts w:ascii="Book Antiqua" w:hAnsi="Book Antiqua"/>
          <w:sz w:val="23"/>
          <w:szCs w:val="23"/>
        </w:rPr>
      </w:pPr>
      <w:r w:rsidRPr="000F4B3D">
        <w:rPr>
          <w:rFonts w:ascii="Book Antiqua" w:hAnsi="Book Antiqua"/>
          <w:sz w:val="23"/>
          <w:szCs w:val="23"/>
        </w:rPr>
        <w:t>É o que se depreende deste excerto:</w:t>
      </w:r>
    </w:p>
    <w:p w:rsidR="00CA3075" w:rsidRPr="000F4B3D" w:rsidRDefault="00257CA3" w:rsidP="00257CA3">
      <w:pPr>
        <w:ind w:left="2552"/>
        <w:jc w:val="both"/>
        <w:rPr>
          <w:rFonts w:ascii="Book Antiqua" w:hAnsi="Book Antiqua"/>
          <w:sz w:val="23"/>
          <w:szCs w:val="23"/>
        </w:rPr>
      </w:pPr>
      <w:r w:rsidRPr="000F4B3D">
        <w:rPr>
          <w:rFonts w:ascii="Book Antiqua" w:hAnsi="Book Antiqua"/>
          <w:sz w:val="23"/>
          <w:szCs w:val="23"/>
        </w:rPr>
        <w:lastRenderedPageBreak/>
        <w:t>‘</w:t>
      </w:r>
      <w:r w:rsidR="00CA3075" w:rsidRPr="000F4B3D">
        <w:rPr>
          <w:rFonts w:ascii="Book Antiqua" w:hAnsi="Book Antiqua"/>
          <w:sz w:val="23"/>
          <w:szCs w:val="23"/>
        </w:rPr>
        <w:t xml:space="preserve">(…) Não se reconhece, dess'arte, a alegada afronta aos apontados incisos da Constituição Estadual, mesmo porque </w:t>
      </w:r>
      <w:r w:rsidR="00CA3075" w:rsidRPr="000F4B3D">
        <w:rPr>
          <w:rFonts w:ascii="Book Antiqua" w:hAnsi="Book Antiqua"/>
          <w:b/>
          <w:sz w:val="23"/>
          <w:szCs w:val="23"/>
        </w:rPr>
        <w:t>a lei impugnada nesta via tem por finalidade tão somente informar à população sobre a lista de pacientes no aguardo de consultas, procedimentos médicos e cirurgias da rede pública, vale dizer, pretende dar transparência ao serviço público de saúde do Município, em atenção ao princípio da publicidade dos atos administrativos, iniciativa que deveria ser seguida e não repelida</w:t>
      </w:r>
      <w:r w:rsidR="00CA3075" w:rsidRPr="000F4B3D">
        <w:rPr>
          <w:rFonts w:ascii="Book Antiqua" w:hAnsi="Book Antiqua"/>
          <w:sz w:val="23"/>
          <w:szCs w:val="23"/>
        </w:rPr>
        <w:t xml:space="preserve">. (...) </w:t>
      </w:r>
      <w:r w:rsidR="003817FC" w:rsidRPr="000F4B3D">
        <w:rPr>
          <w:rFonts w:ascii="Book Antiqua" w:hAnsi="Book Antiqua"/>
          <w:sz w:val="23"/>
          <w:szCs w:val="23"/>
        </w:rPr>
        <w:t>- negritamos</w:t>
      </w:r>
    </w:p>
    <w:p w:rsidR="00257CA3" w:rsidRPr="000F4B3D" w:rsidRDefault="00257CA3" w:rsidP="00CA3075">
      <w:pPr>
        <w:ind w:firstLine="1701"/>
        <w:jc w:val="both"/>
        <w:rPr>
          <w:rFonts w:ascii="Book Antiqua" w:hAnsi="Book Antiqua"/>
          <w:sz w:val="23"/>
          <w:szCs w:val="23"/>
        </w:rPr>
      </w:pPr>
      <w:r w:rsidRPr="000F4B3D">
        <w:rPr>
          <w:rFonts w:ascii="Book Antiqua" w:hAnsi="Book Antiqua"/>
          <w:sz w:val="23"/>
          <w:szCs w:val="23"/>
        </w:rPr>
        <w:t xml:space="preserve">O TRIBUNAL DE JUSTIÇA DO ESTADO DE MINAS GERAIS, ao julgar uma Ação de Direita de Inconstitucionalidade, declarou a constitucionalidade de lei semelhante do Município de Nova Serrana, </w:t>
      </w:r>
      <w:r w:rsidR="00656354" w:rsidRPr="000F4B3D">
        <w:rPr>
          <w:rFonts w:ascii="Book Antiqua" w:hAnsi="Book Antiqua"/>
          <w:sz w:val="23"/>
          <w:szCs w:val="23"/>
        </w:rPr>
        <w:t>cujo aresto restou assim ementado:</w:t>
      </w:r>
    </w:p>
    <w:p w:rsidR="00656354" w:rsidRPr="000F4B3D" w:rsidRDefault="003817FC" w:rsidP="00656354">
      <w:pPr>
        <w:ind w:left="2552"/>
        <w:jc w:val="both"/>
        <w:rPr>
          <w:rFonts w:ascii="Book Antiqua" w:hAnsi="Book Antiqua"/>
          <w:sz w:val="23"/>
          <w:szCs w:val="23"/>
        </w:rPr>
      </w:pPr>
      <w:r w:rsidRPr="000F4B3D">
        <w:rPr>
          <w:rFonts w:ascii="Book Antiqua" w:hAnsi="Book Antiqua"/>
          <w:sz w:val="23"/>
          <w:szCs w:val="23"/>
        </w:rPr>
        <w:t>“</w:t>
      </w:r>
      <w:r w:rsidR="00656354" w:rsidRPr="000F4B3D">
        <w:rPr>
          <w:rFonts w:ascii="Book Antiqua" w:hAnsi="Book Antiqua"/>
          <w:sz w:val="23"/>
          <w:szCs w:val="23"/>
        </w:rPr>
        <w:t xml:space="preserve">EMENTA: AÇÃO DIRETA DE INCONSTITUCIONALIDADE. LEI DO MUNICÍPIO DE NOVA SERRANA QUE </w:t>
      </w:r>
      <w:r w:rsidR="00656354" w:rsidRPr="000F4B3D">
        <w:rPr>
          <w:rFonts w:ascii="Book Antiqua" w:hAnsi="Book Antiqua"/>
          <w:b/>
          <w:sz w:val="23"/>
          <w:szCs w:val="23"/>
        </w:rPr>
        <w:t>ESTABELECE A OBRIGATORIEDADE DA DIVULGAÇÃO DA ORDEM EM LISTA DE ESPERA DO SUS</w:t>
      </w:r>
      <w:r w:rsidR="00656354" w:rsidRPr="000F4B3D">
        <w:rPr>
          <w:rFonts w:ascii="Book Antiqua" w:hAnsi="Book Antiqua"/>
          <w:sz w:val="23"/>
          <w:szCs w:val="23"/>
        </w:rPr>
        <w:t xml:space="preserve">. CONSTITUCIONALIDADE. </w:t>
      </w:r>
      <w:r w:rsidR="00656354" w:rsidRPr="000F4B3D">
        <w:rPr>
          <w:rFonts w:ascii="Book Antiqua" w:hAnsi="Book Antiqua"/>
          <w:b/>
          <w:sz w:val="23"/>
          <w:szCs w:val="23"/>
        </w:rPr>
        <w:t>DIREITO DO CIDADÃO DE CONHECER A ORDEM E A ORGANIZAÇÃO DO SERVIÇO. TRANSPARÊNCIA</w:t>
      </w:r>
      <w:r w:rsidR="00656354" w:rsidRPr="000F4B3D">
        <w:rPr>
          <w:rFonts w:ascii="Book Antiqua" w:hAnsi="Book Antiqua"/>
          <w:sz w:val="23"/>
          <w:szCs w:val="23"/>
        </w:rPr>
        <w:t xml:space="preserve">. </w:t>
      </w:r>
      <w:r w:rsidR="00656354" w:rsidRPr="000F4B3D">
        <w:rPr>
          <w:rFonts w:ascii="Book Antiqua" w:hAnsi="Book Antiqua"/>
          <w:b/>
          <w:sz w:val="23"/>
          <w:szCs w:val="23"/>
        </w:rPr>
        <w:t xml:space="preserve">A divulgação, por meio eletrônico, por meio eletrônico e com acesso irrestrito, bem como nas unidades de saúde do município, das listagens dos pacientes que aguardam por consultas com especialistas, exames e cirurgias na rede pública de saúde do Município de Nova Serrana-MG, não constitui regra inconstitucional, que atente, de qualquer modo, contra regras da Constituição Estadual. </w:t>
      </w:r>
      <w:r w:rsidR="00656354" w:rsidRPr="000F4B3D">
        <w:rPr>
          <w:rFonts w:ascii="Book Antiqua" w:hAnsi="Book Antiqua"/>
          <w:b/>
          <w:sz w:val="23"/>
          <w:szCs w:val="23"/>
          <w:u w:val="single"/>
        </w:rPr>
        <w:t xml:space="preserve">Não há criação de despesa nova, fora dos limites da LDO e a divulgação prevista garante o direito </w:t>
      </w:r>
      <w:r w:rsidR="00656354" w:rsidRPr="000F4B3D">
        <w:rPr>
          <w:rFonts w:ascii="Book Antiqua" w:hAnsi="Book Antiqua"/>
          <w:b/>
          <w:sz w:val="23"/>
          <w:szCs w:val="23"/>
          <w:u w:val="single"/>
        </w:rPr>
        <w:lastRenderedPageBreak/>
        <w:t>de privacidade dos pacientes, inclusive porque é divulgado apenas o número do Cartão Nacional de Saúde - CNS</w:t>
      </w:r>
      <w:r w:rsidR="00656354" w:rsidRPr="000F4B3D">
        <w:rPr>
          <w:rFonts w:ascii="Book Antiqua" w:hAnsi="Book Antiqua"/>
          <w:b/>
          <w:sz w:val="23"/>
          <w:szCs w:val="23"/>
        </w:rPr>
        <w:t xml:space="preserve">. Segundo o art. 190, XV, da CEMG, "compete ao Estado, no âmbito do sistema único de saúde, além de outras atribuições previstas em lei federal(...): XV - implementar, em conjunto com os órgãos federais e municipais, o sistema de informação na área da saúde. </w:t>
      </w:r>
      <w:r w:rsidR="00656354" w:rsidRPr="000F4B3D">
        <w:rPr>
          <w:rFonts w:ascii="Book Antiqua" w:hAnsi="Book Antiqua"/>
          <w:sz w:val="23"/>
          <w:szCs w:val="23"/>
        </w:rPr>
        <w:t>(TJMG - Ação Direta Inconst 1.0000.14.024160-5/000, Relator(a): Des.(a) Antônio Sérvulo, Relator(a) para o acórdão: Des.(a) Wander Marotta, ÓRGÃO ESPECIAL, julgamento em 22/10/2014, publicação da súmula em 12/12/2014)</w:t>
      </w:r>
      <w:r w:rsidRPr="000F4B3D">
        <w:rPr>
          <w:rFonts w:ascii="Book Antiqua" w:hAnsi="Book Antiqua"/>
          <w:sz w:val="23"/>
          <w:szCs w:val="23"/>
        </w:rPr>
        <w:t xml:space="preserve"> – grifamos e negritamos</w:t>
      </w:r>
    </w:p>
    <w:p w:rsidR="00685EB4" w:rsidRPr="000F4B3D" w:rsidRDefault="00656354" w:rsidP="00CA3075">
      <w:pPr>
        <w:ind w:firstLine="1701"/>
        <w:jc w:val="both"/>
        <w:rPr>
          <w:rFonts w:ascii="Book Antiqua" w:hAnsi="Book Antiqua"/>
          <w:sz w:val="23"/>
          <w:szCs w:val="23"/>
        </w:rPr>
      </w:pPr>
      <w:r w:rsidRPr="000F4B3D">
        <w:rPr>
          <w:rFonts w:ascii="Book Antiqua" w:hAnsi="Book Antiqua"/>
          <w:sz w:val="23"/>
          <w:szCs w:val="23"/>
        </w:rPr>
        <w:t>Ademais,</w:t>
      </w:r>
      <w:r w:rsidR="003817FC" w:rsidRPr="000F4B3D">
        <w:rPr>
          <w:rFonts w:ascii="Book Antiqua" w:hAnsi="Book Antiqua"/>
          <w:sz w:val="23"/>
          <w:szCs w:val="23"/>
        </w:rPr>
        <w:t xml:space="preserve"> constata-se que</w:t>
      </w:r>
      <w:r w:rsidRPr="000F4B3D">
        <w:rPr>
          <w:rFonts w:ascii="Book Antiqua" w:hAnsi="Book Antiqua"/>
          <w:sz w:val="23"/>
          <w:szCs w:val="23"/>
        </w:rPr>
        <w:t xml:space="preserve"> o</w:t>
      </w:r>
      <w:r w:rsidR="00CA3075" w:rsidRPr="000F4B3D">
        <w:rPr>
          <w:rFonts w:ascii="Book Antiqua" w:hAnsi="Book Antiqua"/>
          <w:sz w:val="23"/>
          <w:szCs w:val="23"/>
        </w:rPr>
        <w:t xml:space="preserve"> entendimento encontra amparo na jurisprudência do </w:t>
      </w:r>
      <w:r w:rsidR="003817FC" w:rsidRPr="000F4B3D">
        <w:rPr>
          <w:rFonts w:ascii="Book Antiqua" w:hAnsi="Book Antiqua"/>
          <w:sz w:val="23"/>
          <w:szCs w:val="23"/>
        </w:rPr>
        <w:t>SUPREMO TRIBUNAL FEDERAL</w:t>
      </w:r>
      <w:r w:rsidR="00CA3075" w:rsidRPr="000F4B3D">
        <w:rPr>
          <w:rFonts w:ascii="Book Antiqua" w:hAnsi="Book Antiqua"/>
          <w:sz w:val="23"/>
          <w:szCs w:val="23"/>
        </w:rPr>
        <w:t>, ilustrada no seguinte precedente:</w:t>
      </w:r>
      <w:r w:rsidR="00885E0F" w:rsidRPr="000F4B3D">
        <w:rPr>
          <w:rFonts w:ascii="Book Antiqua" w:hAnsi="Book Antiqua"/>
          <w:sz w:val="23"/>
          <w:szCs w:val="23"/>
        </w:rPr>
        <w:t xml:space="preserve"> </w:t>
      </w:r>
    </w:p>
    <w:p w:rsidR="00CA3075" w:rsidRPr="000F4B3D" w:rsidRDefault="00CA3075" w:rsidP="00CA3075">
      <w:pPr>
        <w:ind w:left="2552"/>
        <w:jc w:val="both"/>
        <w:rPr>
          <w:rFonts w:ascii="Book Antiqua" w:hAnsi="Book Antiqua"/>
          <w:sz w:val="23"/>
          <w:szCs w:val="23"/>
        </w:rPr>
      </w:pPr>
      <w:r w:rsidRPr="000F4B3D">
        <w:rPr>
          <w:rFonts w:ascii="Book Antiqua" w:hAnsi="Book Antiqua"/>
          <w:sz w:val="23"/>
          <w:szCs w:val="23"/>
        </w:rPr>
        <w:t xml:space="preserve">“Ação direta de inconstitucionalidade. Lei nº 11.521/2000 do Estado do Rio Grande do Sul. </w:t>
      </w:r>
      <w:r w:rsidRPr="000F4B3D">
        <w:rPr>
          <w:rFonts w:ascii="Book Antiqua" w:hAnsi="Book Antiqua"/>
          <w:b/>
          <w:sz w:val="23"/>
          <w:szCs w:val="23"/>
        </w:rPr>
        <w:t xml:space="preserve">Obrigação do Governo de divulgar na imprensa oficial e na internet dados relativos a contratos de obras públicas. Ausência de vício formal e material. Princípio da publicidade e da transparência. </w:t>
      </w:r>
      <w:r w:rsidRPr="000F4B3D">
        <w:rPr>
          <w:rFonts w:ascii="Book Antiqua" w:hAnsi="Book Antiqua"/>
          <w:sz w:val="23"/>
          <w:szCs w:val="23"/>
        </w:rPr>
        <w:t xml:space="preserve">Fiscalização. Constitucionalidade. (…) 2. </w:t>
      </w:r>
      <w:r w:rsidRPr="000F4B3D">
        <w:rPr>
          <w:rFonts w:ascii="Book Antiqua" w:hAnsi="Book Antiqua"/>
          <w:b/>
          <w:sz w:val="23"/>
          <w:szCs w:val="23"/>
        </w:rPr>
        <w:t xml:space="preserve">Lei que obriga o Poder Executivo a divulgar na imprensa oficial e na internet dados relativos a contratos de obras públicas não depende de iniciativa do chefe do Poder Executivo. </w:t>
      </w:r>
      <w:r w:rsidRPr="000F4B3D">
        <w:rPr>
          <w:rFonts w:ascii="Book Antiqua" w:hAnsi="Book Antiqua"/>
          <w:b/>
          <w:sz w:val="23"/>
          <w:szCs w:val="23"/>
          <w:u w:val="single"/>
        </w:rPr>
        <w:t>A lei em questão não cria, extingue ou modifica órgão administrativo, tampouco confere nova atribuição a órgão da administração pública</w:t>
      </w:r>
      <w:r w:rsidRPr="000F4B3D">
        <w:rPr>
          <w:rFonts w:ascii="Book Antiqua" w:hAnsi="Book Antiqua"/>
          <w:sz w:val="23"/>
          <w:szCs w:val="23"/>
        </w:rPr>
        <w:t xml:space="preserve">. </w:t>
      </w:r>
      <w:r w:rsidRPr="000F4B3D">
        <w:rPr>
          <w:rFonts w:ascii="Book Antiqua" w:hAnsi="Book Antiqua"/>
          <w:b/>
          <w:sz w:val="23"/>
          <w:szCs w:val="23"/>
        </w:rPr>
        <w:t xml:space="preserve">O fato de a regra estar dirigida ao Poder Executivo, por si só, não implica que ela deva ser de iniciativa privativa do Governador do Estado. Não incide, no caso, a </w:t>
      </w:r>
      <w:r w:rsidRPr="000F4B3D">
        <w:rPr>
          <w:rFonts w:ascii="Book Antiqua" w:hAnsi="Book Antiqua"/>
          <w:b/>
          <w:sz w:val="23"/>
          <w:szCs w:val="23"/>
        </w:rPr>
        <w:lastRenderedPageBreak/>
        <w:t>vedação constitucional (CF, art. 61, § 1º, II, e).</w:t>
      </w:r>
      <w:r w:rsidRPr="000F4B3D">
        <w:rPr>
          <w:rFonts w:ascii="Book Antiqua" w:hAnsi="Book Antiqua"/>
          <w:sz w:val="23"/>
          <w:szCs w:val="23"/>
        </w:rPr>
        <w:t xml:space="preserve"> 3. A legislação estadual inspira-se no princípio da publicidade, na sua vertente mais específica, a da transparência dos atos do Poder Público. </w:t>
      </w:r>
      <w:r w:rsidRPr="000F4B3D">
        <w:rPr>
          <w:rFonts w:ascii="Book Antiqua" w:hAnsi="Book Antiqua"/>
          <w:b/>
          <w:sz w:val="23"/>
          <w:szCs w:val="23"/>
        </w:rPr>
        <w:t>Enquadra-se, portanto, nesse contexto de aprimoramento da necessária transparência das atividades administrativas, reafirmando e cumprindo o princípio constitucional da publicidade da administração pública (art. 37, caput, CF/88).</w:t>
      </w:r>
      <w:r w:rsidRPr="000F4B3D">
        <w:rPr>
          <w:rFonts w:ascii="Book Antiqua" w:hAnsi="Book Antiqua"/>
          <w:sz w:val="23"/>
          <w:szCs w:val="23"/>
        </w:rPr>
        <w:t xml:space="preserve"> 4. É legítimo que o Poder Legislativo, no exercício do controle externo da administração pública, o qual lhe foi outorgado expressamente pelo poder constituinte, implemente medidas de aprimoramento da sua fiscalização, desde que respeitadas as demais balizas da Carta Constitucional, fato que ora se verifica. 5. Não ocorrência de violação aos ditames do art. 167, I e II, da Carta Magna, pois o custo gerado para o cumprimento da norma seria irrisório, sendo todo o aparato administrativo necessário ao cumprimento da determinação legal preexistente. 6. Ação julgada improcedente. (ADI 2444/RS, Rel. Ministro Dias Toffoli, DJe 2.2.2015, grifos acrescidos). </w:t>
      </w:r>
    </w:p>
    <w:p w:rsidR="00CA3075" w:rsidRPr="000F4B3D" w:rsidRDefault="00CA3075" w:rsidP="00CA3075">
      <w:pPr>
        <w:ind w:firstLine="1701"/>
        <w:jc w:val="both"/>
        <w:rPr>
          <w:rFonts w:ascii="Book Antiqua" w:hAnsi="Book Antiqua"/>
          <w:sz w:val="23"/>
          <w:szCs w:val="23"/>
        </w:rPr>
      </w:pPr>
      <w:r w:rsidRPr="000F4B3D">
        <w:rPr>
          <w:rFonts w:ascii="Book Antiqua" w:hAnsi="Book Antiqua"/>
          <w:i/>
          <w:sz w:val="23"/>
          <w:szCs w:val="23"/>
        </w:rPr>
        <w:t>In casu</w:t>
      </w:r>
      <w:r w:rsidRPr="000F4B3D">
        <w:rPr>
          <w:rFonts w:ascii="Book Antiqua" w:hAnsi="Book Antiqua"/>
          <w:sz w:val="23"/>
          <w:szCs w:val="23"/>
        </w:rPr>
        <w:t>, entendemos que</w:t>
      </w:r>
      <w:r w:rsidR="00257CA3" w:rsidRPr="000F4B3D">
        <w:rPr>
          <w:rFonts w:ascii="Book Antiqua" w:hAnsi="Book Antiqua"/>
          <w:sz w:val="23"/>
          <w:szCs w:val="23"/>
        </w:rPr>
        <w:t xml:space="preserve"> matéria </w:t>
      </w:r>
      <w:r w:rsidR="00257CA3" w:rsidRPr="000F4B3D">
        <w:rPr>
          <w:rFonts w:ascii="Book Antiqua" w:hAnsi="Book Antiqua"/>
          <w:i/>
          <w:sz w:val="23"/>
          <w:szCs w:val="23"/>
        </w:rPr>
        <w:t>sub examine</w:t>
      </w:r>
      <w:r w:rsidRPr="000F4B3D">
        <w:rPr>
          <w:rFonts w:ascii="Book Antiqua" w:hAnsi="Book Antiqua"/>
          <w:sz w:val="23"/>
          <w:szCs w:val="23"/>
        </w:rPr>
        <w:t xml:space="preserve"> não afronta às normas orçamentárias, tendo em vista que as atividades determinadas pela lei não geram despe</w:t>
      </w:r>
      <w:r w:rsidR="00856B87">
        <w:rPr>
          <w:rFonts w:ascii="Book Antiqua" w:hAnsi="Book Antiqua"/>
          <w:sz w:val="23"/>
          <w:szCs w:val="23"/>
        </w:rPr>
        <w:t>sas adicionais para o Município, como já reconhecido pela jurisprudência, inclusive do Sodalício que detém a competência para julgar a inconstitucionalidade em tese de lei municipal no âmbito do Estado de Minas Gerais.</w:t>
      </w:r>
    </w:p>
    <w:p w:rsidR="00CA3075" w:rsidRPr="000F4B3D" w:rsidRDefault="00CA3075" w:rsidP="00CA3075">
      <w:pPr>
        <w:ind w:firstLine="1701"/>
        <w:jc w:val="both"/>
        <w:rPr>
          <w:rFonts w:ascii="Book Antiqua" w:hAnsi="Book Antiqua"/>
          <w:sz w:val="23"/>
          <w:szCs w:val="23"/>
        </w:rPr>
      </w:pPr>
      <w:r w:rsidRPr="000F4B3D">
        <w:rPr>
          <w:rFonts w:ascii="Book Antiqua" w:hAnsi="Book Antiqua"/>
          <w:sz w:val="23"/>
          <w:szCs w:val="23"/>
        </w:rPr>
        <w:t>De fato, um Município do porte de Leopoldina conta, certamente,</w:t>
      </w:r>
      <w:r w:rsidR="003817FC" w:rsidRPr="000F4B3D">
        <w:rPr>
          <w:rFonts w:ascii="Book Antiqua" w:hAnsi="Book Antiqua"/>
          <w:sz w:val="23"/>
          <w:szCs w:val="23"/>
        </w:rPr>
        <w:t xml:space="preserve"> até para fins de cumprimento da Lei Federal nº 12.  – Lei de Acesso à Informação – regulamentada pelo Decreto nº ............,</w:t>
      </w:r>
      <w:r w:rsidRPr="000F4B3D">
        <w:rPr>
          <w:rFonts w:ascii="Book Antiqua" w:hAnsi="Book Antiqua"/>
          <w:sz w:val="23"/>
          <w:szCs w:val="23"/>
        </w:rPr>
        <w:t xml:space="preserve"> com sistema informatizado que permite a inserção das informações determinadas na lei </w:t>
      </w:r>
      <w:r w:rsidRPr="000F4B3D">
        <w:rPr>
          <w:rFonts w:ascii="Book Antiqua" w:hAnsi="Book Antiqua"/>
          <w:sz w:val="23"/>
          <w:szCs w:val="23"/>
        </w:rPr>
        <w:lastRenderedPageBreak/>
        <w:t xml:space="preserve">impugnada sem que, para tal, haja despesas adicionais, mesmo porque, o Município já mantém ativo página na internet, com o endereço </w:t>
      </w:r>
      <w:hyperlink r:id="rId7" w:history="1">
        <w:r w:rsidR="003817FC" w:rsidRPr="000F4B3D">
          <w:rPr>
            <w:rStyle w:val="Hyperlink"/>
            <w:rFonts w:ascii="Book Antiqua" w:hAnsi="Book Antiqua"/>
            <w:color w:val="auto"/>
            <w:sz w:val="23"/>
            <w:szCs w:val="23"/>
            <w:u w:val="none"/>
          </w:rPr>
          <w:t>www.leopoldina.mg.gov.br</w:t>
        </w:r>
      </w:hyperlink>
      <w:r w:rsidRPr="000F4B3D">
        <w:rPr>
          <w:rFonts w:ascii="Book Antiqua" w:hAnsi="Book Antiqua"/>
          <w:sz w:val="23"/>
          <w:szCs w:val="23"/>
        </w:rPr>
        <w:t>,</w:t>
      </w:r>
      <w:r w:rsidR="003817FC" w:rsidRPr="000F4B3D">
        <w:rPr>
          <w:rFonts w:ascii="Book Antiqua" w:hAnsi="Book Antiqua"/>
          <w:sz w:val="23"/>
          <w:szCs w:val="23"/>
        </w:rPr>
        <w:t xml:space="preserve"> que deve ser considerado o “Portal da Transparência”,</w:t>
      </w:r>
      <w:r w:rsidRPr="000F4B3D">
        <w:rPr>
          <w:rFonts w:ascii="Book Antiqua" w:hAnsi="Book Antiqua"/>
          <w:sz w:val="23"/>
          <w:szCs w:val="23"/>
        </w:rPr>
        <w:t xml:space="preserve"> com a finalidade de acesso do cidadão à obtenção de informações em várias áreas da Administração,</w:t>
      </w:r>
      <w:r w:rsidR="0008133C">
        <w:rPr>
          <w:rFonts w:ascii="Book Antiqua" w:hAnsi="Book Antiqua"/>
          <w:sz w:val="23"/>
          <w:szCs w:val="23"/>
        </w:rPr>
        <w:t xml:space="preserve"> nos denominados e-serviços.</w:t>
      </w:r>
    </w:p>
    <w:p w:rsidR="003817FC" w:rsidRPr="000F4B3D" w:rsidRDefault="003817FC" w:rsidP="003817FC">
      <w:pPr>
        <w:jc w:val="both"/>
        <w:rPr>
          <w:rFonts w:ascii="Book Antiqua" w:hAnsi="Book Antiqua"/>
          <w:b/>
          <w:sz w:val="23"/>
          <w:szCs w:val="23"/>
        </w:rPr>
      </w:pPr>
      <w:r w:rsidRPr="000F4B3D">
        <w:rPr>
          <w:rFonts w:ascii="Book Antiqua" w:hAnsi="Book Antiqua"/>
          <w:b/>
          <w:sz w:val="23"/>
          <w:szCs w:val="23"/>
        </w:rPr>
        <w:t>3 – DA</w:t>
      </w:r>
      <w:r w:rsidR="00443507" w:rsidRPr="000F4B3D">
        <w:rPr>
          <w:rFonts w:ascii="Book Antiqua" w:hAnsi="Book Antiqua"/>
          <w:b/>
          <w:sz w:val="23"/>
          <w:szCs w:val="23"/>
        </w:rPr>
        <w:t xml:space="preserve"> SUGESTÃO DE APRESENTAÇÃO DE EMENDAS MODIFICAIVAS E DE</w:t>
      </w:r>
      <w:r w:rsidRPr="000F4B3D">
        <w:rPr>
          <w:rFonts w:ascii="Book Antiqua" w:hAnsi="Book Antiqua"/>
          <w:b/>
          <w:sz w:val="23"/>
          <w:szCs w:val="23"/>
        </w:rPr>
        <w:t xml:space="preserve"> PROPOSTA DE REDAÇÃO FINAL</w:t>
      </w:r>
    </w:p>
    <w:p w:rsidR="00246E07" w:rsidRPr="000F4B3D" w:rsidRDefault="00246E07" w:rsidP="00246E07">
      <w:pPr>
        <w:ind w:firstLine="1701"/>
        <w:jc w:val="both"/>
        <w:rPr>
          <w:rFonts w:ascii="Book Antiqua" w:hAnsi="Book Antiqua"/>
          <w:sz w:val="23"/>
          <w:szCs w:val="23"/>
        </w:rPr>
      </w:pPr>
      <w:r w:rsidRPr="000F4B3D">
        <w:rPr>
          <w:rFonts w:ascii="Book Antiqua" w:hAnsi="Book Antiqua"/>
          <w:sz w:val="23"/>
          <w:szCs w:val="23"/>
        </w:rPr>
        <w:t>Do ponto de vista formal, o Projeto de Lei encontra-se no geral bem redigido.</w:t>
      </w:r>
    </w:p>
    <w:p w:rsidR="00246E07" w:rsidRDefault="00246E07" w:rsidP="00246E07">
      <w:pPr>
        <w:ind w:firstLine="1701"/>
        <w:jc w:val="both"/>
        <w:rPr>
          <w:rFonts w:ascii="Book Antiqua" w:hAnsi="Book Antiqua"/>
          <w:sz w:val="23"/>
          <w:szCs w:val="23"/>
        </w:rPr>
      </w:pPr>
      <w:r w:rsidRPr="000F4B3D">
        <w:rPr>
          <w:rFonts w:ascii="Book Antiqua" w:hAnsi="Book Antiqua"/>
          <w:sz w:val="23"/>
          <w:szCs w:val="23"/>
        </w:rPr>
        <w:t xml:space="preserve"> Contudo, há sugestões de redação de alguns dos seus dispositivos, de forma a imprimir rigor técnico, de modo a compatibilizá-lo com a boa técnica legislativa.</w:t>
      </w:r>
    </w:p>
    <w:p w:rsidR="00DD6319" w:rsidRPr="000F4B3D" w:rsidRDefault="00246E07" w:rsidP="00246E07">
      <w:pPr>
        <w:ind w:firstLine="1701"/>
        <w:jc w:val="both"/>
        <w:rPr>
          <w:rFonts w:ascii="Book Antiqua" w:hAnsi="Book Antiqua"/>
          <w:sz w:val="23"/>
          <w:szCs w:val="23"/>
        </w:rPr>
      </w:pPr>
      <w:r w:rsidRPr="000F4B3D">
        <w:rPr>
          <w:rFonts w:ascii="Book Antiqua" w:hAnsi="Book Antiqua"/>
          <w:sz w:val="23"/>
          <w:szCs w:val="23"/>
        </w:rPr>
        <w:t>Sugerimos seja modificada a redação do artigo 5º em relação à expressão “fica desde já autorizada”, tendo em vista que</w:t>
      </w:r>
      <w:r w:rsidR="00DD6319" w:rsidRPr="000F4B3D">
        <w:rPr>
          <w:rFonts w:ascii="Book Antiqua" w:hAnsi="Book Antiqua"/>
          <w:sz w:val="23"/>
          <w:szCs w:val="23"/>
        </w:rPr>
        <w:t xml:space="preserve"> de acordo com o artigo 9º da proposta,</w:t>
      </w:r>
      <w:r w:rsidRPr="000F4B3D">
        <w:rPr>
          <w:rFonts w:ascii="Book Antiqua" w:hAnsi="Book Antiqua"/>
          <w:sz w:val="23"/>
          <w:szCs w:val="23"/>
        </w:rPr>
        <w:t xml:space="preserve"> a lei entra em vigor </w:t>
      </w:r>
      <w:r w:rsidR="00DD6319" w:rsidRPr="000F4B3D">
        <w:rPr>
          <w:rFonts w:ascii="Book Antiqua" w:hAnsi="Book Antiqua"/>
          <w:sz w:val="23"/>
          <w:szCs w:val="23"/>
        </w:rPr>
        <w:t>180 (cento e oitenta) dias após a sua</w:t>
      </w:r>
      <w:r w:rsidRPr="000F4B3D">
        <w:rPr>
          <w:rFonts w:ascii="Book Antiqua" w:hAnsi="Book Antiqua"/>
          <w:sz w:val="23"/>
          <w:szCs w:val="23"/>
        </w:rPr>
        <w:t xml:space="preserve"> publicação.</w:t>
      </w:r>
      <w:r w:rsidR="00DD6319" w:rsidRPr="000F4B3D">
        <w:rPr>
          <w:rFonts w:ascii="Book Antiqua" w:hAnsi="Book Antiqua"/>
          <w:sz w:val="23"/>
          <w:szCs w:val="23"/>
        </w:rPr>
        <w:t xml:space="preserve"> Desta forma, há evidente confronto, passível de questionamento. </w:t>
      </w:r>
    </w:p>
    <w:p w:rsidR="001D7ED7" w:rsidRPr="000F4B3D" w:rsidRDefault="00DD6319" w:rsidP="00246E07">
      <w:pPr>
        <w:ind w:firstLine="1701"/>
        <w:jc w:val="both"/>
        <w:rPr>
          <w:rFonts w:ascii="Book Antiqua" w:hAnsi="Book Antiqua"/>
          <w:sz w:val="23"/>
          <w:szCs w:val="23"/>
        </w:rPr>
      </w:pPr>
      <w:r w:rsidRPr="000F4B3D">
        <w:rPr>
          <w:rFonts w:ascii="Book Antiqua" w:hAnsi="Book Antiqua"/>
          <w:sz w:val="23"/>
          <w:szCs w:val="23"/>
        </w:rPr>
        <w:t>Ainda que não fosse assim,</w:t>
      </w:r>
      <w:r w:rsidR="00443507" w:rsidRPr="000F4B3D">
        <w:rPr>
          <w:rFonts w:ascii="Book Antiqua" w:hAnsi="Book Antiqua"/>
          <w:sz w:val="23"/>
          <w:szCs w:val="23"/>
        </w:rPr>
        <w:t xml:space="preserve"> apenas para argumentar,</w:t>
      </w:r>
      <w:r w:rsidRPr="000F4B3D">
        <w:rPr>
          <w:rFonts w:ascii="Book Antiqua" w:hAnsi="Book Antiqua"/>
          <w:sz w:val="23"/>
          <w:szCs w:val="23"/>
        </w:rPr>
        <w:t xml:space="preserve"> </w:t>
      </w:r>
      <w:r w:rsidR="001D7ED7" w:rsidRPr="000F4B3D">
        <w:rPr>
          <w:rFonts w:ascii="Book Antiqua" w:hAnsi="Book Antiqua"/>
          <w:sz w:val="23"/>
          <w:szCs w:val="23"/>
        </w:rPr>
        <w:t xml:space="preserve">se fosse </w:t>
      </w:r>
      <w:r w:rsidRPr="000F4B3D">
        <w:rPr>
          <w:rFonts w:ascii="Book Antiqua" w:hAnsi="Book Antiqua"/>
          <w:sz w:val="23"/>
          <w:szCs w:val="23"/>
        </w:rPr>
        <w:t xml:space="preserve">aplicado o texto padrão </w:t>
      </w:r>
      <w:r w:rsidR="001D7ED7" w:rsidRPr="000F4B3D">
        <w:rPr>
          <w:rFonts w:ascii="Book Antiqua" w:hAnsi="Book Antiqua"/>
          <w:sz w:val="23"/>
          <w:szCs w:val="23"/>
        </w:rPr>
        <w:t xml:space="preserve">comumente </w:t>
      </w:r>
      <w:r w:rsidRPr="000F4B3D">
        <w:rPr>
          <w:rFonts w:ascii="Book Antiqua" w:hAnsi="Book Antiqua"/>
          <w:sz w:val="23"/>
          <w:szCs w:val="23"/>
        </w:rPr>
        <w:t>adotado, segundo o qual “Esta Lei entra em vigor na data de sua publicação”, o texto do artigo estaria claramente redundante, pois se</w:t>
      </w:r>
      <w:r w:rsidR="00443507" w:rsidRPr="000F4B3D">
        <w:rPr>
          <w:rFonts w:ascii="Book Antiqua" w:hAnsi="Book Antiqua"/>
          <w:sz w:val="23"/>
          <w:szCs w:val="23"/>
        </w:rPr>
        <w:t xml:space="preserve"> a lei</w:t>
      </w:r>
      <w:r w:rsidRPr="000F4B3D">
        <w:rPr>
          <w:rFonts w:ascii="Book Antiqua" w:hAnsi="Book Antiqua"/>
          <w:sz w:val="23"/>
          <w:szCs w:val="23"/>
        </w:rPr>
        <w:t xml:space="preserve"> entra em vigor na data de sua publicação, a obviedade da vigência desde logo</w:t>
      </w:r>
      <w:r w:rsidR="001D7ED7" w:rsidRPr="000F4B3D">
        <w:rPr>
          <w:rFonts w:ascii="Book Antiqua" w:hAnsi="Book Antiqua"/>
          <w:sz w:val="23"/>
          <w:szCs w:val="23"/>
        </w:rPr>
        <w:t xml:space="preserve"> é inexorável</w:t>
      </w:r>
      <w:r w:rsidR="00443507" w:rsidRPr="000F4B3D">
        <w:rPr>
          <w:rFonts w:ascii="Book Antiqua" w:hAnsi="Book Antiqua"/>
          <w:sz w:val="23"/>
          <w:szCs w:val="23"/>
        </w:rPr>
        <w:t>, sendo redundante a expressão “fica desde já autorizada”.</w:t>
      </w:r>
    </w:p>
    <w:p w:rsidR="001D7ED7" w:rsidRPr="000F4B3D" w:rsidRDefault="001D7ED7" w:rsidP="00246E07">
      <w:pPr>
        <w:ind w:firstLine="1701"/>
        <w:jc w:val="both"/>
        <w:rPr>
          <w:rFonts w:ascii="Book Antiqua" w:hAnsi="Book Antiqua"/>
          <w:sz w:val="23"/>
          <w:szCs w:val="23"/>
        </w:rPr>
      </w:pPr>
      <w:r w:rsidRPr="000F4B3D">
        <w:rPr>
          <w:rFonts w:ascii="Book Antiqua" w:hAnsi="Book Antiqua"/>
          <w:sz w:val="23"/>
          <w:szCs w:val="23"/>
        </w:rPr>
        <w:t>Por outro lado, o texto prevê a expressão “desde que devidamente atestado pelo profissional competente”, deixando evidente margem de dúvida e suscitando interpretações</w:t>
      </w:r>
      <w:r w:rsidR="00443507" w:rsidRPr="000F4B3D">
        <w:rPr>
          <w:rFonts w:ascii="Book Antiqua" w:hAnsi="Book Antiqua"/>
          <w:sz w:val="23"/>
          <w:szCs w:val="23"/>
        </w:rPr>
        <w:t xml:space="preserve"> diversas,</w:t>
      </w:r>
      <w:r w:rsidRPr="000F4B3D">
        <w:rPr>
          <w:rFonts w:ascii="Book Antiqua" w:hAnsi="Book Antiqua"/>
          <w:sz w:val="23"/>
          <w:szCs w:val="23"/>
        </w:rPr>
        <w:t xml:space="preserve"> dúvidas e até mesmo invasão de competência privativa</w:t>
      </w:r>
      <w:r w:rsidR="00443507" w:rsidRPr="000F4B3D">
        <w:rPr>
          <w:rFonts w:ascii="Book Antiqua" w:hAnsi="Book Antiqua"/>
          <w:sz w:val="23"/>
          <w:szCs w:val="23"/>
        </w:rPr>
        <w:t>, que podem comprometer o espírito da lei.</w:t>
      </w:r>
      <w:r w:rsidRPr="000F4B3D">
        <w:rPr>
          <w:rFonts w:ascii="Book Antiqua" w:hAnsi="Book Antiqua"/>
          <w:sz w:val="23"/>
          <w:szCs w:val="23"/>
        </w:rPr>
        <w:t xml:space="preserve"> No caso, o único profissional que pode atestar um quadro clínico de uma pessoa é o médico assistente,</w:t>
      </w:r>
      <w:r w:rsidR="00443507" w:rsidRPr="000F4B3D">
        <w:rPr>
          <w:rFonts w:ascii="Book Antiqua" w:hAnsi="Book Antiqua"/>
          <w:sz w:val="23"/>
          <w:szCs w:val="23"/>
        </w:rPr>
        <w:t xml:space="preserve"> preferencialmente </w:t>
      </w:r>
      <w:r w:rsidR="00AB12A4" w:rsidRPr="000F4B3D">
        <w:rPr>
          <w:rFonts w:ascii="Book Antiqua" w:hAnsi="Book Antiqua"/>
          <w:sz w:val="23"/>
          <w:szCs w:val="23"/>
        </w:rPr>
        <w:t>da rede pública municipal de saúde,</w:t>
      </w:r>
      <w:r w:rsidRPr="000F4B3D">
        <w:rPr>
          <w:rFonts w:ascii="Book Antiqua" w:hAnsi="Book Antiqua"/>
          <w:sz w:val="23"/>
          <w:szCs w:val="23"/>
        </w:rPr>
        <w:t xml:space="preserve"> sob a fé do seu grau, se responsabilizando </w:t>
      </w:r>
      <w:r w:rsidRPr="000F4B3D">
        <w:rPr>
          <w:rFonts w:ascii="Book Antiqua" w:hAnsi="Book Antiqua"/>
          <w:sz w:val="23"/>
          <w:szCs w:val="23"/>
        </w:rPr>
        <w:lastRenderedPageBreak/>
        <w:t>penal, civil</w:t>
      </w:r>
      <w:r w:rsidR="00AB12A4" w:rsidRPr="000F4B3D">
        <w:rPr>
          <w:rFonts w:ascii="Book Antiqua" w:hAnsi="Book Antiqua"/>
          <w:sz w:val="23"/>
          <w:szCs w:val="23"/>
        </w:rPr>
        <w:t>, administrativa</w:t>
      </w:r>
      <w:r w:rsidRPr="000F4B3D">
        <w:rPr>
          <w:rFonts w:ascii="Book Antiqua" w:hAnsi="Book Antiqua"/>
          <w:sz w:val="23"/>
          <w:szCs w:val="23"/>
        </w:rPr>
        <w:t xml:space="preserve"> e deontologicamente por eventual afirmação falsa.</w:t>
      </w:r>
    </w:p>
    <w:p w:rsidR="00246E07" w:rsidRPr="000F4B3D" w:rsidRDefault="00DD6319" w:rsidP="00246E07">
      <w:pPr>
        <w:ind w:firstLine="1701"/>
        <w:jc w:val="both"/>
        <w:rPr>
          <w:rFonts w:ascii="Book Antiqua" w:hAnsi="Book Antiqua"/>
          <w:sz w:val="23"/>
          <w:szCs w:val="23"/>
        </w:rPr>
      </w:pPr>
      <w:r w:rsidRPr="000F4B3D">
        <w:rPr>
          <w:rFonts w:ascii="Book Antiqua" w:hAnsi="Book Antiqua"/>
          <w:sz w:val="23"/>
          <w:szCs w:val="23"/>
        </w:rPr>
        <w:t xml:space="preserve"> </w:t>
      </w:r>
      <w:r w:rsidR="00246E07" w:rsidRPr="000F4B3D">
        <w:rPr>
          <w:rFonts w:ascii="Book Antiqua" w:hAnsi="Book Antiqua"/>
          <w:sz w:val="23"/>
          <w:szCs w:val="23"/>
        </w:rPr>
        <w:t>O texto da proposta de emenda modificativa ao referido artigo do PL em análise é a seguinte:</w:t>
      </w:r>
    </w:p>
    <w:p w:rsidR="00246E07" w:rsidRPr="000F4B3D" w:rsidRDefault="00246E07" w:rsidP="00246E07">
      <w:pPr>
        <w:pStyle w:val="NormalWeb"/>
        <w:shd w:val="clear" w:color="auto" w:fill="FFFFFF"/>
        <w:ind w:left="2552"/>
        <w:jc w:val="both"/>
        <w:rPr>
          <w:rFonts w:ascii="Book Antiqua" w:eastAsiaTheme="minorHAnsi" w:hAnsi="Book Antiqua" w:cstheme="minorBidi"/>
          <w:sz w:val="23"/>
          <w:szCs w:val="23"/>
          <w:lang w:eastAsia="en-US"/>
        </w:rPr>
      </w:pPr>
      <w:r w:rsidRPr="000F4B3D">
        <w:rPr>
          <w:rFonts w:ascii="Book Antiqua" w:eastAsiaTheme="minorHAnsi" w:hAnsi="Book Antiqua" w:cstheme="minorBidi"/>
          <w:bCs/>
          <w:sz w:val="23"/>
          <w:szCs w:val="23"/>
          <w:lang w:eastAsia="en-US"/>
        </w:rPr>
        <w:t>“Art. 5º</w:t>
      </w:r>
      <w:r w:rsidRPr="000F4B3D">
        <w:rPr>
          <w:rFonts w:ascii="Book Antiqua" w:eastAsiaTheme="minorHAnsi" w:hAnsi="Book Antiqua" w:cstheme="minorBidi"/>
          <w:b/>
          <w:bCs/>
          <w:sz w:val="23"/>
          <w:szCs w:val="23"/>
          <w:lang w:eastAsia="en-US"/>
        </w:rPr>
        <w:t xml:space="preserve">  </w:t>
      </w:r>
      <w:r w:rsidRPr="000F4B3D">
        <w:rPr>
          <w:rFonts w:ascii="Book Antiqua" w:eastAsiaTheme="minorHAnsi" w:hAnsi="Book Antiqua" w:cstheme="minorBidi"/>
          <w:sz w:val="23"/>
          <w:szCs w:val="23"/>
          <w:lang w:eastAsia="en-US"/>
        </w:rPr>
        <w:t xml:space="preserve">Fica autorizada a alteração da situação dos pacientes inscritos nas listas de espera com base no critério da gravidade do estado clínico, desde que devidamente atestado </w:t>
      </w:r>
      <w:r w:rsidR="001D7ED7" w:rsidRPr="000F4B3D">
        <w:rPr>
          <w:rFonts w:ascii="Book Antiqua" w:eastAsiaTheme="minorHAnsi" w:hAnsi="Book Antiqua" w:cstheme="minorBidi"/>
          <w:sz w:val="23"/>
          <w:szCs w:val="23"/>
          <w:lang w:eastAsia="en-US"/>
        </w:rPr>
        <w:t>pelo médico assistente</w:t>
      </w:r>
      <w:r w:rsidR="00AB12A4" w:rsidRPr="000F4B3D">
        <w:rPr>
          <w:rFonts w:ascii="Book Antiqua" w:eastAsiaTheme="minorHAnsi" w:hAnsi="Book Antiqua" w:cstheme="minorBidi"/>
          <w:sz w:val="23"/>
          <w:szCs w:val="23"/>
          <w:lang w:eastAsia="en-US"/>
        </w:rPr>
        <w:t>, preferencialmente da rede pública municipal de saúde</w:t>
      </w:r>
      <w:r w:rsidRPr="000F4B3D">
        <w:rPr>
          <w:rFonts w:ascii="Book Antiqua" w:eastAsiaTheme="minorHAnsi" w:hAnsi="Book Antiqua" w:cstheme="minorBidi"/>
          <w:sz w:val="23"/>
          <w:szCs w:val="23"/>
          <w:lang w:eastAsia="en-US"/>
        </w:rPr>
        <w:t>.”</w:t>
      </w:r>
    </w:p>
    <w:p w:rsidR="00246E07" w:rsidRPr="000F4B3D" w:rsidRDefault="00DD6319" w:rsidP="00246E07">
      <w:pPr>
        <w:pStyle w:val="NormalWeb"/>
        <w:shd w:val="clear" w:color="auto" w:fill="FFFFFF"/>
        <w:ind w:firstLine="1701"/>
        <w:jc w:val="both"/>
        <w:rPr>
          <w:rFonts w:ascii="Book Antiqua" w:eastAsiaTheme="minorHAnsi" w:hAnsi="Book Antiqua" w:cstheme="minorBidi"/>
          <w:sz w:val="23"/>
          <w:szCs w:val="23"/>
          <w:lang w:eastAsia="en-US"/>
        </w:rPr>
      </w:pPr>
      <w:r w:rsidRPr="000F4B3D">
        <w:rPr>
          <w:rFonts w:ascii="Book Antiqua" w:eastAsiaTheme="minorHAnsi" w:hAnsi="Book Antiqua" w:cstheme="minorBidi"/>
          <w:sz w:val="23"/>
          <w:szCs w:val="23"/>
          <w:lang w:eastAsia="en-US"/>
        </w:rPr>
        <w:t xml:space="preserve">O artigo 7º, </w:t>
      </w:r>
      <w:r w:rsidRPr="000F4B3D">
        <w:rPr>
          <w:rFonts w:ascii="Book Antiqua" w:eastAsiaTheme="minorHAnsi" w:hAnsi="Book Antiqua" w:cstheme="minorBidi"/>
          <w:b/>
          <w:i/>
          <w:sz w:val="23"/>
          <w:szCs w:val="23"/>
          <w:lang w:eastAsia="en-US"/>
        </w:rPr>
        <w:t>caput</w:t>
      </w:r>
      <w:r w:rsidRPr="000F4B3D">
        <w:rPr>
          <w:rFonts w:ascii="Book Antiqua" w:eastAsiaTheme="minorHAnsi" w:hAnsi="Book Antiqua" w:cstheme="minorBidi"/>
          <w:sz w:val="23"/>
          <w:szCs w:val="23"/>
          <w:lang w:eastAsia="en-US"/>
        </w:rPr>
        <w:t>, do Projeto de Lei</w:t>
      </w:r>
      <w:r w:rsidR="00426CA8" w:rsidRPr="000F4B3D">
        <w:rPr>
          <w:rFonts w:ascii="Book Antiqua" w:eastAsiaTheme="minorHAnsi" w:hAnsi="Book Antiqua" w:cstheme="minorBidi"/>
          <w:sz w:val="23"/>
          <w:szCs w:val="23"/>
          <w:lang w:eastAsia="en-US"/>
        </w:rPr>
        <w:t xml:space="preserve"> originalmente</w:t>
      </w:r>
      <w:r w:rsidRPr="000F4B3D">
        <w:rPr>
          <w:rFonts w:ascii="Book Antiqua" w:eastAsiaTheme="minorHAnsi" w:hAnsi="Book Antiqua" w:cstheme="minorBidi"/>
          <w:sz w:val="23"/>
          <w:szCs w:val="23"/>
          <w:lang w:eastAsia="en-US"/>
        </w:rPr>
        <w:t xml:space="preserve"> está assim redigido:</w:t>
      </w:r>
    </w:p>
    <w:p w:rsidR="00246E07" w:rsidRPr="000F4B3D" w:rsidRDefault="00DD6319" w:rsidP="00DD6319">
      <w:pPr>
        <w:pStyle w:val="NormalWeb"/>
        <w:shd w:val="clear" w:color="auto" w:fill="FFFFFF"/>
        <w:ind w:left="2552"/>
        <w:jc w:val="both"/>
        <w:rPr>
          <w:rFonts w:ascii="Book Antiqua" w:eastAsiaTheme="minorHAnsi" w:hAnsi="Book Antiqua" w:cstheme="minorBidi"/>
          <w:sz w:val="23"/>
          <w:szCs w:val="23"/>
          <w:lang w:eastAsia="en-US"/>
        </w:rPr>
      </w:pPr>
      <w:r w:rsidRPr="000F4B3D">
        <w:rPr>
          <w:rFonts w:ascii="Book Antiqua" w:eastAsiaTheme="minorHAnsi" w:hAnsi="Book Antiqua" w:cstheme="minorBidi"/>
          <w:b/>
          <w:bCs/>
          <w:sz w:val="23"/>
          <w:szCs w:val="23"/>
          <w:lang w:eastAsia="en-US"/>
        </w:rPr>
        <w:t>“</w:t>
      </w:r>
      <w:r w:rsidR="00246E07" w:rsidRPr="00321552">
        <w:rPr>
          <w:rFonts w:ascii="Book Antiqua" w:eastAsiaTheme="minorHAnsi" w:hAnsi="Book Antiqua" w:cstheme="minorBidi"/>
          <w:bCs/>
          <w:sz w:val="23"/>
          <w:szCs w:val="23"/>
          <w:lang w:eastAsia="en-US"/>
        </w:rPr>
        <w:t>Art. 7º</w:t>
      </w:r>
      <w:r w:rsidR="00246E07" w:rsidRPr="000F4B3D">
        <w:rPr>
          <w:rFonts w:ascii="Book Antiqua" w:eastAsiaTheme="minorHAnsi" w:hAnsi="Book Antiqua" w:cstheme="minorBidi"/>
          <w:b/>
          <w:bCs/>
          <w:sz w:val="23"/>
          <w:szCs w:val="23"/>
          <w:lang w:eastAsia="en-US"/>
        </w:rPr>
        <w:t> </w:t>
      </w:r>
      <w:r w:rsidR="00246E07" w:rsidRPr="000F4B3D">
        <w:rPr>
          <w:rFonts w:ascii="Book Antiqua" w:eastAsiaTheme="minorHAnsi" w:hAnsi="Book Antiqua" w:cstheme="minorBidi"/>
          <w:sz w:val="23"/>
          <w:szCs w:val="23"/>
          <w:lang w:eastAsia="en-US"/>
        </w:rPr>
        <w:t>À equipe da unidade de saúde a qual o paciente está vinculado caberá a responsabilidade por sua manutenção ou exclusão nas listas de espera.</w:t>
      </w:r>
    </w:p>
    <w:p w:rsidR="00DD6319" w:rsidRPr="000F4B3D" w:rsidRDefault="00DD6319" w:rsidP="00DD6319">
      <w:pPr>
        <w:pStyle w:val="NormalWeb"/>
        <w:shd w:val="clear" w:color="auto" w:fill="FFFFFF"/>
        <w:ind w:firstLine="1701"/>
        <w:jc w:val="both"/>
        <w:rPr>
          <w:rFonts w:ascii="Book Antiqua" w:eastAsiaTheme="minorHAnsi" w:hAnsi="Book Antiqua" w:cstheme="minorBidi"/>
          <w:bCs/>
          <w:sz w:val="23"/>
          <w:szCs w:val="23"/>
          <w:lang w:eastAsia="en-US"/>
        </w:rPr>
      </w:pPr>
      <w:r w:rsidRPr="000F4B3D">
        <w:rPr>
          <w:rFonts w:ascii="Book Antiqua" w:eastAsiaTheme="minorHAnsi" w:hAnsi="Book Antiqua" w:cstheme="minorBidi"/>
          <w:bCs/>
          <w:sz w:val="23"/>
          <w:szCs w:val="23"/>
          <w:lang w:eastAsia="en-US"/>
        </w:rPr>
        <w:t>Sugerimos a seguinte redação para o dispositivo:</w:t>
      </w:r>
    </w:p>
    <w:p w:rsidR="00DD6319" w:rsidRPr="000F4B3D" w:rsidRDefault="00DD6319" w:rsidP="00DD6319">
      <w:pPr>
        <w:pStyle w:val="NormalWeb"/>
        <w:shd w:val="clear" w:color="auto" w:fill="FFFFFF"/>
        <w:ind w:left="2552"/>
        <w:jc w:val="both"/>
        <w:rPr>
          <w:rFonts w:ascii="Book Antiqua" w:eastAsiaTheme="minorHAnsi" w:hAnsi="Book Antiqua" w:cstheme="minorBidi"/>
          <w:sz w:val="23"/>
          <w:szCs w:val="23"/>
          <w:lang w:eastAsia="en-US"/>
        </w:rPr>
      </w:pPr>
      <w:r w:rsidRPr="000F4B3D">
        <w:rPr>
          <w:rFonts w:ascii="Book Antiqua" w:eastAsiaTheme="minorHAnsi" w:hAnsi="Book Antiqua" w:cstheme="minorBidi"/>
          <w:bCs/>
          <w:sz w:val="23"/>
          <w:szCs w:val="23"/>
          <w:lang w:eastAsia="en-US"/>
        </w:rPr>
        <w:t>“Art. 7º Caberá à equipe da unidade de saúde a qual o paciente está vinculado, a responsabilidade pela manutenção ou exclusão nas listas de espera.”</w:t>
      </w:r>
    </w:p>
    <w:p w:rsidR="002564CC" w:rsidRPr="000F4B3D" w:rsidRDefault="002E01BD" w:rsidP="00246E07">
      <w:pPr>
        <w:ind w:firstLine="1701"/>
        <w:jc w:val="both"/>
        <w:rPr>
          <w:rFonts w:ascii="Book Antiqua" w:hAnsi="Book Antiqua"/>
          <w:sz w:val="23"/>
          <w:szCs w:val="23"/>
        </w:rPr>
      </w:pPr>
      <w:r w:rsidRPr="000F4B3D">
        <w:rPr>
          <w:rFonts w:ascii="Book Antiqua" w:hAnsi="Book Antiqua"/>
          <w:sz w:val="23"/>
          <w:szCs w:val="23"/>
        </w:rPr>
        <w:t xml:space="preserve">Sugerimos, também, a </w:t>
      </w:r>
      <w:r w:rsidRPr="000F4B3D">
        <w:rPr>
          <w:rFonts w:ascii="Book Antiqua" w:hAnsi="Book Antiqua"/>
          <w:b/>
          <w:sz w:val="23"/>
          <w:szCs w:val="23"/>
        </w:rPr>
        <w:t>supressão integral</w:t>
      </w:r>
      <w:r w:rsidRPr="000F4B3D">
        <w:rPr>
          <w:rFonts w:ascii="Book Antiqua" w:hAnsi="Book Antiqua"/>
          <w:sz w:val="23"/>
          <w:szCs w:val="23"/>
        </w:rPr>
        <w:t xml:space="preserve"> do artigo 8º do Projeto de Lei em análise,</w:t>
      </w:r>
      <w:r w:rsidR="00181079" w:rsidRPr="000F4B3D">
        <w:rPr>
          <w:rFonts w:ascii="Book Antiqua" w:hAnsi="Book Antiqua"/>
          <w:sz w:val="23"/>
          <w:szCs w:val="23"/>
        </w:rPr>
        <w:t xml:space="preserve"> com a renumeração dos artigos seguintes,</w:t>
      </w:r>
      <w:r w:rsidRPr="000F4B3D">
        <w:rPr>
          <w:rFonts w:ascii="Book Antiqua" w:hAnsi="Book Antiqua"/>
          <w:sz w:val="23"/>
          <w:szCs w:val="23"/>
        </w:rPr>
        <w:t xml:space="preserve"> pois o Poder Legislativo não pode invadir a competência privativa do Poder Executivo, determinando a regulamentação de qualquer matéria legislativa</w:t>
      </w:r>
      <w:r w:rsidR="002564CC" w:rsidRPr="000F4B3D">
        <w:rPr>
          <w:rFonts w:ascii="Book Antiqua" w:hAnsi="Book Antiqua"/>
          <w:sz w:val="23"/>
          <w:szCs w:val="23"/>
        </w:rPr>
        <w:t>, ainda que nos parece dotada de obviedade</w:t>
      </w:r>
      <w:r w:rsidRPr="000F4B3D">
        <w:rPr>
          <w:rFonts w:ascii="Book Antiqua" w:hAnsi="Book Antiqua"/>
          <w:sz w:val="23"/>
          <w:szCs w:val="23"/>
        </w:rPr>
        <w:t>.</w:t>
      </w:r>
    </w:p>
    <w:p w:rsidR="002E01BD" w:rsidRPr="000F4B3D" w:rsidRDefault="002E01BD" w:rsidP="00246E07">
      <w:pPr>
        <w:ind w:firstLine="1701"/>
        <w:jc w:val="both"/>
        <w:rPr>
          <w:rFonts w:ascii="Book Antiqua" w:hAnsi="Book Antiqua"/>
          <w:sz w:val="23"/>
          <w:szCs w:val="23"/>
        </w:rPr>
      </w:pPr>
      <w:r w:rsidRPr="000F4B3D">
        <w:rPr>
          <w:rFonts w:ascii="Book Antiqua" w:hAnsi="Book Antiqua"/>
          <w:sz w:val="23"/>
          <w:szCs w:val="23"/>
        </w:rPr>
        <w:t xml:space="preserve"> Neste sentido, nos orienta o prestigiado </w:t>
      </w:r>
      <w:r w:rsidR="002564CC" w:rsidRPr="000F4B3D">
        <w:rPr>
          <w:rFonts w:ascii="Book Antiqua" w:hAnsi="Book Antiqua"/>
          <w:sz w:val="23"/>
          <w:szCs w:val="23"/>
        </w:rPr>
        <w:t xml:space="preserve">jurista </w:t>
      </w:r>
      <w:r w:rsidRPr="000F4B3D">
        <w:rPr>
          <w:rFonts w:ascii="Book Antiqua" w:hAnsi="Book Antiqua"/>
          <w:sz w:val="23"/>
          <w:szCs w:val="23"/>
        </w:rPr>
        <w:t>Jorge José da Costa, na sua obra de consulta obrigatória “Técnica Legislativa, Procedimentos e Normas”, p. 76/77, Editora Destaque, Rio de Janeiro: 1994):</w:t>
      </w:r>
    </w:p>
    <w:p w:rsidR="002E01BD" w:rsidRPr="000F4B3D" w:rsidRDefault="002E01BD" w:rsidP="002E01BD">
      <w:pPr>
        <w:ind w:left="2552" w:firstLine="567"/>
        <w:jc w:val="both"/>
        <w:rPr>
          <w:rFonts w:ascii="Book Antiqua" w:hAnsi="Book Antiqua"/>
          <w:sz w:val="23"/>
          <w:szCs w:val="23"/>
        </w:rPr>
      </w:pPr>
      <w:r w:rsidRPr="000F4B3D">
        <w:rPr>
          <w:rFonts w:ascii="Book Antiqua" w:hAnsi="Book Antiqua"/>
          <w:sz w:val="23"/>
          <w:szCs w:val="23"/>
        </w:rPr>
        <w:lastRenderedPageBreak/>
        <w:t xml:space="preserve">“Existe o hábito arraigado de haver no encerramento dos projetos de lei um artigo que poderíamos denominar de </w:t>
      </w:r>
      <w:r w:rsidRPr="000F4B3D">
        <w:rPr>
          <w:rFonts w:ascii="Book Antiqua" w:hAnsi="Book Antiqua"/>
          <w:i/>
          <w:sz w:val="23"/>
          <w:szCs w:val="23"/>
        </w:rPr>
        <w:t>“cláusula regulamentar”</w:t>
      </w:r>
      <w:r w:rsidRPr="000F4B3D">
        <w:rPr>
          <w:rFonts w:ascii="Book Antiqua" w:hAnsi="Book Antiqua"/>
          <w:sz w:val="23"/>
          <w:szCs w:val="23"/>
        </w:rPr>
        <w:t>, que invariavelmente assuma a fórmula:</w:t>
      </w:r>
    </w:p>
    <w:p w:rsidR="002E01BD" w:rsidRPr="000F4B3D" w:rsidRDefault="002E01BD" w:rsidP="002564CC">
      <w:pPr>
        <w:ind w:left="3686"/>
        <w:jc w:val="both"/>
        <w:rPr>
          <w:rFonts w:ascii="Book Antiqua" w:hAnsi="Book Antiqua"/>
          <w:i/>
          <w:sz w:val="23"/>
          <w:szCs w:val="23"/>
        </w:rPr>
      </w:pPr>
      <w:r w:rsidRPr="000F4B3D">
        <w:rPr>
          <w:rFonts w:ascii="Book Antiqua" w:hAnsi="Book Antiqua"/>
          <w:i/>
          <w:sz w:val="23"/>
          <w:szCs w:val="23"/>
        </w:rPr>
        <w:t>O Executivo regulamentará esta lei trinta dias a sua publicação.</w:t>
      </w:r>
    </w:p>
    <w:p w:rsidR="002564CC" w:rsidRPr="000F4B3D" w:rsidRDefault="002564CC" w:rsidP="002564CC">
      <w:pPr>
        <w:ind w:left="2552" w:firstLine="567"/>
        <w:jc w:val="both"/>
        <w:rPr>
          <w:rFonts w:ascii="Book Antiqua" w:hAnsi="Book Antiqua"/>
          <w:sz w:val="23"/>
          <w:szCs w:val="23"/>
        </w:rPr>
      </w:pPr>
      <w:r w:rsidRPr="000F4B3D">
        <w:rPr>
          <w:rFonts w:ascii="Book Antiqua" w:hAnsi="Book Antiqua"/>
          <w:sz w:val="23"/>
          <w:szCs w:val="23"/>
        </w:rPr>
        <w:t xml:space="preserve">A </w:t>
      </w:r>
      <w:r w:rsidRPr="000F4B3D">
        <w:rPr>
          <w:rFonts w:ascii="Book Antiqua" w:hAnsi="Book Antiqua"/>
          <w:i/>
          <w:sz w:val="23"/>
          <w:szCs w:val="23"/>
        </w:rPr>
        <w:t>“clausula regulamentar”</w:t>
      </w:r>
      <w:r w:rsidRPr="000F4B3D">
        <w:rPr>
          <w:rFonts w:ascii="Book Antiqua" w:hAnsi="Book Antiqua"/>
          <w:sz w:val="23"/>
          <w:szCs w:val="23"/>
        </w:rPr>
        <w:t xml:space="preserve"> possui dois sérios defeitos de técnica legislativa. O primeiro é a sua existência em si. O segundo é a expressão “o </w:t>
      </w:r>
      <w:r w:rsidRPr="000F4B3D">
        <w:rPr>
          <w:rFonts w:ascii="Book Antiqua" w:hAnsi="Book Antiqua"/>
          <w:i/>
          <w:sz w:val="23"/>
          <w:szCs w:val="23"/>
        </w:rPr>
        <w:t>Executivo</w:t>
      </w:r>
      <w:r w:rsidRPr="000F4B3D">
        <w:rPr>
          <w:rFonts w:ascii="Book Antiqua" w:hAnsi="Book Antiqua"/>
          <w:sz w:val="23"/>
          <w:szCs w:val="23"/>
        </w:rPr>
        <w:t>”.</w:t>
      </w:r>
    </w:p>
    <w:p w:rsidR="002564CC" w:rsidRPr="000F4B3D" w:rsidRDefault="002564CC" w:rsidP="002564CC">
      <w:pPr>
        <w:ind w:left="2552" w:firstLine="567"/>
        <w:jc w:val="both"/>
        <w:rPr>
          <w:rFonts w:ascii="Book Antiqua" w:hAnsi="Book Antiqua"/>
          <w:sz w:val="23"/>
          <w:szCs w:val="23"/>
        </w:rPr>
      </w:pPr>
      <w:r w:rsidRPr="000F4B3D">
        <w:rPr>
          <w:rFonts w:ascii="Book Antiqua" w:hAnsi="Book Antiqua"/>
          <w:b/>
          <w:sz w:val="23"/>
          <w:szCs w:val="23"/>
        </w:rPr>
        <w:t xml:space="preserve">A </w:t>
      </w:r>
      <w:r w:rsidRPr="000F4B3D">
        <w:rPr>
          <w:rFonts w:ascii="Book Antiqua" w:hAnsi="Book Antiqua"/>
          <w:b/>
          <w:i/>
          <w:sz w:val="23"/>
          <w:szCs w:val="23"/>
        </w:rPr>
        <w:t>“cláusula regulamentar”</w:t>
      </w:r>
      <w:r w:rsidRPr="000F4B3D">
        <w:rPr>
          <w:rFonts w:ascii="Book Antiqua" w:hAnsi="Book Antiqua"/>
          <w:b/>
          <w:sz w:val="23"/>
          <w:szCs w:val="23"/>
        </w:rPr>
        <w:t xml:space="preserve"> fere o princípio da independência dos poderes, uma vez que o Poder Legislativo não pode obrigar o Poder Executivo a usar uma atribuição que lhe é inerente</w:t>
      </w:r>
      <w:r w:rsidRPr="000F4B3D">
        <w:rPr>
          <w:rFonts w:ascii="Book Antiqua" w:hAnsi="Book Antiqua"/>
          <w:sz w:val="23"/>
          <w:szCs w:val="23"/>
        </w:rPr>
        <w:t>, que é o chamado poder regulamentar, dentro do prazo que lhe convém.</w:t>
      </w:r>
    </w:p>
    <w:p w:rsidR="002564CC" w:rsidRPr="000F4B3D" w:rsidRDefault="002564CC" w:rsidP="002564CC">
      <w:pPr>
        <w:ind w:left="2552" w:firstLine="567"/>
        <w:jc w:val="both"/>
        <w:rPr>
          <w:rFonts w:ascii="Book Antiqua" w:hAnsi="Book Antiqua"/>
          <w:sz w:val="23"/>
          <w:szCs w:val="23"/>
        </w:rPr>
      </w:pPr>
      <w:r w:rsidRPr="000F4B3D">
        <w:rPr>
          <w:rFonts w:ascii="Book Antiqua" w:hAnsi="Book Antiqua"/>
          <w:sz w:val="23"/>
          <w:szCs w:val="23"/>
        </w:rPr>
        <w:t>(...)</w:t>
      </w:r>
    </w:p>
    <w:p w:rsidR="002564CC" w:rsidRPr="000F4B3D" w:rsidRDefault="002564CC" w:rsidP="002564CC">
      <w:pPr>
        <w:ind w:left="2552" w:firstLine="567"/>
        <w:jc w:val="both"/>
        <w:rPr>
          <w:rFonts w:ascii="Book Antiqua" w:hAnsi="Book Antiqua"/>
          <w:sz w:val="23"/>
          <w:szCs w:val="23"/>
        </w:rPr>
      </w:pPr>
      <w:r w:rsidRPr="000F4B3D">
        <w:rPr>
          <w:rFonts w:ascii="Book Antiqua" w:hAnsi="Book Antiqua"/>
          <w:sz w:val="23"/>
          <w:szCs w:val="23"/>
        </w:rPr>
        <w:t>Se no plano legislativo a proposição avançou até o seu limite máximo de normatização, a “cláusula regulamentar” é desnecessária. A tal ponto que nada, em termos jurídicos, nem a existência dela em si, estabelecendo um prazo considerável para a regulamentação, pode obrigar o chefe do Poder Executivo a baixar as normas administrativas internas que efetivem o cumprimento da proposição convertida em lei.</w:t>
      </w:r>
    </w:p>
    <w:p w:rsidR="002564CC" w:rsidRPr="000F4B3D" w:rsidRDefault="002564CC" w:rsidP="002564CC">
      <w:pPr>
        <w:ind w:left="2552" w:firstLine="567"/>
        <w:jc w:val="both"/>
        <w:rPr>
          <w:rFonts w:ascii="Book Antiqua" w:hAnsi="Book Antiqua"/>
          <w:i/>
          <w:sz w:val="23"/>
          <w:szCs w:val="23"/>
        </w:rPr>
      </w:pPr>
      <w:r w:rsidRPr="000F4B3D">
        <w:rPr>
          <w:rFonts w:ascii="Book Antiqua" w:hAnsi="Book Antiqua"/>
          <w:b/>
          <w:sz w:val="23"/>
          <w:szCs w:val="23"/>
        </w:rPr>
        <w:t>Por macular o princípio republicano da independência dos Poderes,</w:t>
      </w:r>
      <w:r w:rsidRPr="000F4B3D">
        <w:rPr>
          <w:rFonts w:ascii="Book Antiqua" w:hAnsi="Book Antiqua"/>
          <w:sz w:val="23"/>
          <w:szCs w:val="23"/>
        </w:rPr>
        <w:t xml:space="preserve"> </w:t>
      </w:r>
      <w:r w:rsidRPr="000F4B3D">
        <w:rPr>
          <w:rFonts w:ascii="Book Antiqua" w:hAnsi="Book Antiqua"/>
          <w:b/>
          <w:sz w:val="23"/>
          <w:szCs w:val="23"/>
        </w:rPr>
        <w:t xml:space="preserve">a </w:t>
      </w:r>
      <w:r w:rsidRPr="000F4B3D">
        <w:rPr>
          <w:rFonts w:ascii="Book Antiqua" w:hAnsi="Book Antiqua"/>
          <w:b/>
          <w:i/>
          <w:sz w:val="23"/>
          <w:szCs w:val="23"/>
        </w:rPr>
        <w:t>“cláusula regulamentar”</w:t>
      </w:r>
      <w:r w:rsidRPr="000F4B3D">
        <w:rPr>
          <w:rFonts w:ascii="Book Antiqua" w:hAnsi="Book Antiqua"/>
          <w:b/>
          <w:sz w:val="23"/>
          <w:szCs w:val="23"/>
        </w:rPr>
        <w:t xml:space="preserve"> </w:t>
      </w:r>
      <w:r w:rsidR="00181079" w:rsidRPr="000F4B3D">
        <w:rPr>
          <w:rFonts w:ascii="Book Antiqua" w:hAnsi="Book Antiqua"/>
          <w:b/>
          <w:sz w:val="23"/>
          <w:szCs w:val="23"/>
        </w:rPr>
        <w:t xml:space="preserve">é inconstitucional, devendo o seu </w:t>
      </w:r>
      <w:r w:rsidR="00181079" w:rsidRPr="000F4B3D">
        <w:rPr>
          <w:rFonts w:ascii="Book Antiqua" w:hAnsi="Book Antiqua"/>
          <w:b/>
          <w:sz w:val="23"/>
          <w:szCs w:val="23"/>
        </w:rPr>
        <w:lastRenderedPageBreak/>
        <w:t>uso ser abolido dos textos legais</w:t>
      </w:r>
      <w:r w:rsidR="00181079" w:rsidRPr="000F4B3D">
        <w:rPr>
          <w:rFonts w:ascii="Book Antiqua" w:hAnsi="Book Antiqua"/>
          <w:sz w:val="23"/>
          <w:szCs w:val="23"/>
        </w:rPr>
        <w:t xml:space="preserve">.” </w:t>
      </w:r>
      <w:r w:rsidR="0092235F" w:rsidRPr="000F4B3D">
        <w:rPr>
          <w:rFonts w:ascii="Book Antiqua" w:hAnsi="Book Antiqua"/>
          <w:sz w:val="23"/>
          <w:szCs w:val="23"/>
        </w:rPr>
        <w:t>–</w:t>
      </w:r>
      <w:r w:rsidR="00181079" w:rsidRPr="000F4B3D">
        <w:rPr>
          <w:rFonts w:ascii="Book Antiqua" w:hAnsi="Book Antiqua"/>
          <w:sz w:val="23"/>
          <w:szCs w:val="23"/>
        </w:rPr>
        <w:t xml:space="preserve"> </w:t>
      </w:r>
      <w:r w:rsidR="0092235F" w:rsidRPr="000F4B3D">
        <w:rPr>
          <w:rFonts w:ascii="Book Antiqua" w:hAnsi="Book Antiqua"/>
          <w:sz w:val="23"/>
          <w:szCs w:val="23"/>
        </w:rPr>
        <w:t>os negritos e os detalhes em itálico constam no original.</w:t>
      </w:r>
    </w:p>
    <w:p w:rsidR="002E01BD" w:rsidRPr="000F4B3D" w:rsidRDefault="002E01BD" w:rsidP="00246E07">
      <w:pPr>
        <w:ind w:firstLine="1701"/>
        <w:jc w:val="both"/>
        <w:rPr>
          <w:rFonts w:ascii="Book Antiqua" w:hAnsi="Book Antiqua"/>
          <w:sz w:val="23"/>
          <w:szCs w:val="23"/>
        </w:rPr>
      </w:pPr>
      <w:r w:rsidRPr="000F4B3D">
        <w:rPr>
          <w:rFonts w:ascii="Book Antiqua" w:hAnsi="Book Antiqua"/>
          <w:sz w:val="23"/>
          <w:szCs w:val="23"/>
        </w:rPr>
        <w:t xml:space="preserve"> </w:t>
      </w:r>
      <w:r w:rsidR="00181079" w:rsidRPr="000F4B3D">
        <w:rPr>
          <w:rFonts w:ascii="Book Antiqua" w:hAnsi="Book Antiqua"/>
          <w:sz w:val="23"/>
          <w:szCs w:val="23"/>
        </w:rPr>
        <w:t>Com efeito, convertido o projeto de lei em norma de direito positivo, observadas todas as fases do processo legislativo até a sanção ou promulgação da lei, inserindo-se, pois, a lei no mundo jurídico, o Poder Executivo poderá regulamentá-la, o que efetivamente se espera, mas não por imposição do Poder Legislativo, em vista da observância do princípio da separação dos poderes.</w:t>
      </w:r>
    </w:p>
    <w:p w:rsidR="0008133C" w:rsidRDefault="00DD6319" w:rsidP="00246E07">
      <w:pPr>
        <w:ind w:firstLine="1701"/>
        <w:jc w:val="both"/>
        <w:rPr>
          <w:rFonts w:ascii="Book Antiqua" w:hAnsi="Book Antiqua"/>
          <w:sz w:val="23"/>
          <w:szCs w:val="23"/>
        </w:rPr>
      </w:pPr>
      <w:r w:rsidRPr="0008133C">
        <w:rPr>
          <w:rFonts w:ascii="Book Antiqua" w:hAnsi="Book Antiqua"/>
          <w:b/>
          <w:sz w:val="23"/>
          <w:szCs w:val="23"/>
        </w:rPr>
        <w:t xml:space="preserve">Para efeito de </w:t>
      </w:r>
      <w:r w:rsidRPr="00AD1617">
        <w:rPr>
          <w:rFonts w:ascii="Book Antiqua" w:hAnsi="Book Antiqua"/>
          <w:b/>
          <w:sz w:val="23"/>
          <w:szCs w:val="23"/>
          <w:u w:val="single"/>
        </w:rPr>
        <w:t>redação final</w:t>
      </w:r>
      <w:r w:rsidRPr="0008133C">
        <w:rPr>
          <w:rFonts w:ascii="Book Antiqua" w:hAnsi="Book Antiqua"/>
          <w:b/>
          <w:sz w:val="23"/>
          <w:szCs w:val="23"/>
        </w:rPr>
        <w:t>,</w:t>
      </w:r>
      <w:r w:rsidRPr="000F4B3D">
        <w:rPr>
          <w:rFonts w:ascii="Book Antiqua" w:hAnsi="Book Antiqua"/>
          <w:sz w:val="23"/>
          <w:szCs w:val="23"/>
        </w:rPr>
        <w:t xml:space="preserve"> </w:t>
      </w:r>
      <w:r w:rsidR="0008133C">
        <w:rPr>
          <w:rFonts w:ascii="Book Antiqua" w:hAnsi="Book Antiqua"/>
          <w:sz w:val="23"/>
          <w:szCs w:val="23"/>
        </w:rPr>
        <w:t>sugerimos:</w:t>
      </w:r>
    </w:p>
    <w:p w:rsidR="0008133C" w:rsidRPr="0008133C" w:rsidRDefault="0008133C" w:rsidP="0008133C">
      <w:pPr>
        <w:ind w:firstLine="1701"/>
        <w:jc w:val="both"/>
        <w:rPr>
          <w:rFonts w:ascii="Book Antiqua" w:hAnsi="Book Antiqua"/>
          <w:sz w:val="23"/>
          <w:szCs w:val="23"/>
        </w:rPr>
      </w:pPr>
      <w:r w:rsidRPr="0008133C">
        <w:rPr>
          <w:rFonts w:ascii="Book Antiqua" w:hAnsi="Book Antiqua"/>
          <w:b/>
          <w:sz w:val="23"/>
          <w:szCs w:val="23"/>
        </w:rPr>
        <w:t>a)</w:t>
      </w:r>
      <w:r>
        <w:rPr>
          <w:rFonts w:ascii="Book Antiqua" w:hAnsi="Book Antiqua"/>
          <w:sz w:val="23"/>
          <w:szCs w:val="23"/>
        </w:rPr>
        <w:t xml:space="preserve"> n</w:t>
      </w:r>
      <w:r w:rsidRPr="0008133C">
        <w:rPr>
          <w:rFonts w:ascii="Book Antiqua" w:hAnsi="Book Antiqua"/>
          <w:sz w:val="23"/>
          <w:szCs w:val="23"/>
        </w:rPr>
        <w:t xml:space="preserve">a fórmula de sanção, </w:t>
      </w:r>
      <w:r w:rsidR="00321552">
        <w:rPr>
          <w:rFonts w:ascii="Book Antiqua" w:hAnsi="Book Antiqua"/>
          <w:sz w:val="23"/>
          <w:szCs w:val="23"/>
        </w:rPr>
        <w:t>a substituição</w:t>
      </w:r>
      <w:r w:rsidRPr="0008133C">
        <w:rPr>
          <w:rFonts w:ascii="Book Antiqua" w:hAnsi="Book Antiqua"/>
          <w:sz w:val="23"/>
          <w:szCs w:val="23"/>
        </w:rPr>
        <w:t xml:space="preserve"> </w:t>
      </w:r>
      <w:r w:rsidR="00321552">
        <w:rPr>
          <w:rFonts w:ascii="Book Antiqua" w:hAnsi="Book Antiqua"/>
          <w:sz w:val="23"/>
          <w:szCs w:val="23"/>
        </w:rPr>
        <w:t>d</w:t>
      </w:r>
      <w:r w:rsidRPr="0008133C">
        <w:rPr>
          <w:rFonts w:ascii="Book Antiqua" w:hAnsi="Book Antiqua"/>
          <w:sz w:val="23"/>
          <w:szCs w:val="23"/>
        </w:rPr>
        <w:t>a expressão “A</w:t>
      </w:r>
      <w:r>
        <w:rPr>
          <w:rFonts w:ascii="Book Antiqua" w:hAnsi="Book Antiqua"/>
          <w:sz w:val="23"/>
          <w:szCs w:val="23"/>
        </w:rPr>
        <w:t xml:space="preserve"> </w:t>
      </w:r>
      <w:r w:rsidRPr="0008133C">
        <w:rPr>
          <w:rFonts w:ascii="Book Antiqua" w:hAnsi="Book Antiqua"/>
          <w:sz w:val="23"/>
          <w:szCs w:val="23"/>
        </w:rPr>
        <w:t>Câmara Municipal de Leopoldina aprova:” para “</w:t>
      </w:r>
      <w:r w:rsidRPr="00AD1617">
        <w:rPr>
          <w:rFonts w:ascii="Book Antiqua" w:hAnsi="Book Antiqua"/>
          <w:b/>
          <w:sz w:val="23"/>
          <w:szCs w:val="23"/>
        </w:rPr>
        <w:t>O Povo do Município de Leopoldina, por seus representantes aprovou e eu, em seu nome, sanciono a seguinte Lei:</w:t>
      </w:r>
      <w:r w:rsidRPr="0008133C">
        <w:rPr>
          <w:rFonts w:ascii="Book Antiqua" w:hAnsi="Book Antiqua"/>
          <w:sz w:val="23"/>
          <w:szCs w:val="23"/>
        </w:rPr>
        <w:t>”</w:t>
      </w:r>
    </w:p>
    <w:p w:rsidR="00246E07" w:rsidRPr="0008133C" w:rsidRDefault="0008133C" w:rsidP="0008133C">
      <w:pPr>
        <w:ind w:firstLine="1701"/>
        <w:jc w:val="both"/>
        <w:rPr>
          <w:rFonts w:ascii="Book Antiqua" w:hAnsi="Book Antiqua"/>
          <w:sz w:val="23"/>
          <w:szCs w:val="23"/>
        </w:rPr>
      </w:pPr>
      <w:r w:rsidRPr="0008133C">
        <w:rPr>
          <w:rFonts w:ascii="Book Antiqua" w:hAnsi="Book Antiqua"/>
          <w:b/>
          <w:sz w:val="23"/>
          <w:szCs w:val="23"/>
        </w:rPr>
        <w:t xml:space="preserve">b) </w:t>
      </w:r>
      <w:r w:rsidR="00321552">
        <w:rPr>
          <w:rFonts w:ascii="Book Antiqua" w:hAnsi="Book Antiqua"/>
          <w:sz w:val="23"/>
          <w:szCs w:val="23"/>
        </w:rPr>
        <w:t xml:space="preserve">a exclusão do </w:t>
      </w:r>
      <w:r w:rsidR="00DD6319" w:rsidRPr="0008133C">
        <w:rPr>
          <w:rFonts w:ascii="Book Antiqua" w:hAnsi="Book Antiqua"/>
          <w:sz w:val="23"/>
          <w:szCs w:val="23"/>
        </w:rPr>
        <w:t xml:space="preserve">negrito </w:t>
      </w:r>
      <w:r w:rsidR="001D7ED7" w:rsidRPr="0008133C">
        <w:rPr>
          <w:rFonts w:ascii="Book Antiqua" w:hAnsi="Book Antiqua"/>
          <w:sz w:val="23"/>
          <w:szCs w:val="23"/>
        </w:rPr>
        <w:t xml:space="preserve">da ementa, </w:t>
      </w:r>
      <w:r w:rsidR="00DD6319" w:rsidRPr="0008133C">
        <w:rPr>
          <w:rFonts w:ascii="Book Antiqua" w:hAnsi="Book Antiqua"/>
          <w:sz w:val="23"/>
          <w:szCs w:val="23"/>
        </w:rPr>
        <w:t>bem como aquele inserido no parágrafo único do artigo 7º</w:t>
      </w:r>
      <w:r w:rsidR="001D7ED7" w:rsidRPr="0008133C">
        <w:rPr>
          <w:rFonts w:ascii="Book Antiqua" w:hAnsi="Book Antiqua"/>
          <w:sz w:val="23"/>
          <w:szCs w:val="23"/>
        </w:rPr>
        <w:t>, atentando-se para a aplicação d</w:t>
      </w:r>
      <w:r w:rsidR="00291377" w:rsidRPr="0008133C">
        <w:rPr>
          <w:rFonts w:ascii="Book Antiqua" w:hAnsi="Book Antiqua"/>
          <w:sz w:val="23"/>
          <w:szCs w:val="23"/>
        </w:rPr>
        <w:t>o rigor da boa técnica legislativa.</w:t>
      </w:r>
    </w:p>
    <w:p w:rsidR="0092235F" w:rsidRPr="000F4B3D" w:rsidRDefault="0092235F" w:rsidP="00246E07">
      <w:pPr>
        <w:ind w:firstLine="1701"/>
        <w:jc w:val="both"/>
        <w:rPr>
          <w:rFonts w:ascii="Book Antiqua" w:hAnsi="Book Antiqua"/>
          <w:sz w:val="23"/>
          <w:szCs w:val="23"/>
        </w:rPr>
      </w:pPr>
      <w:r w:rsidRPr="000F4B3D">
        <w:rPr>
          <w:rFonts w:ascii="Book Antiqua" w:hAnsi="Book Antiqua"/>
          <w:sz w:val="23"/>
          <w:szCs w:val="23"/>
        </w:rPr>
        <w:t>No mais, apenas e tão somente a renumeração dos artigos, dada a proposição da supressão inte</w:t>
      </w:r>
      <w:r w:rsidR="00AD1617">
        <w:rPr>
          <w:rFonts w:ascii="Book Antiqua" w:hAnsi="Book Antiqua"/>
          <w:sz w:val="23"/>
          <w:szCs w:val="23"/>
        </w:rPr>
        <w:t>gral do artigo 8º, caso acolhida, passando o artigo 9º, que trata do período de vacância, a ser o oitavo, e consequentemente, o artigo 10, passaria a constar como sendo o artigo 9º</w:t>
      </w:r>
      <w:r w:rsidRPr="000F4B3D">
        <w:rPr>
          <w:rFonts w:ascii="Book Antiqua" w:hAnsi="Book Antiqua"/>
          <w:sz w:val="23"/>
          <w:szCs w:val="23"/>
        </w:rPr>
        <w:t>.</w:t>
      </w:r>
    </w:p>
    <w:p w:rsidR="00685EB4" w:rsidRPr="000F4B3D" w:rsidRDefault="003817FC" w:rsidP="00685EB4">
      <w:pPr>
        <w:jc w:val="both"/>
        <w:rPr>
          <w:rFonts w:ascii="Book Antiqua" w:hAnsi="Book Antiqua"/>
          <w:sz w:val="23"/>
          <w:szCs w:val="23"/>
        </w:rPr>
      </w:pPr>
      <w:r w:rsidRPr="000F4B3D">
        <w:rPr>
          <w:rFonts w:ascii="Book Antiqua" w:hAnsi="Book Antiqua"/>
          <w:b/>
          <w:sz w:val="23"/>
          <w:szCs w:val="23"/>
        </w:rPr>
        <w:t>4</w:t>
      </w:r>
      <w:r w:rsidR="00685EB4" w:rsidRPr="000F4B3D">
        <w:rPr>
          <w:rFonts w:ascii="Book Antiqua" w:hAnsi="Book Antiqua"/>
          <w:b/>
          <w:sz w:val="23"/>
          <w:szCs w:val="23"/>
        </w:rPr>
        <w:t xml:space="preserve"> – DA CONCLUSÃO </w:t>
      </w:r>
    </w:p>
    <w:p w:rsidR="00685EB4" w:rsidRDefault="00685EB4" w:rsidP="00CA3075">
      <w:pPr>
        <w:ind w:firstLine="1701"/>
        <w:jc w:val="both"/>
        <w:rPr>
          <w:rFonts w:ascii="Book Antiqua" w:hAnsi="Book Antiqua"/>
          <w:sz w:val="23"/>
          <w:szCs w:val="23"/>
        </w:rPr>
      </w:pPr>
      <w:r w:rsidRPr="000F4B3D">
        <w:rPr>
          <w:rFonts w:ascii="Book Antiqua" w:hAnsi="Book Antiqua"/>
          <w:sz w:val="23"/>
          <w:szCs w:val="23"/>
        </w:rPr>
        <w:t xml:space="preserve">Em vista do </w:t>
      </w:r>
      <w:r w:rsidR="00CA3075" w:rsidRPr="000F4B3D">
        <w:rPr>
          <w:rFonts w:ascii="Book Antiqua" w:hAnsi="Book Antiqua"/>
          <w:sz w:val="23"/>
          <w:szCs w:val="23"/>
        </w:rPr>
        <w:t xml:space="preserve">exposto, somos de parecer que a matéria </w:t>
      </w:r>
      <w:r w:rsidR="00656354" w:rsidRPr="000F4B3D">
        <w:rPr>
          <w:rFonts w:ascii="Book Antiqua" w:hAnsi="Book Antiqua"/>
          <w:sz w:val="23"/>
          <w:szCs w:val="23"/>
        </w:rPr>
        <w:t xml:space="preserve">legislativa </w:t>
      </w:r>
      <w:r w:rsidR="00CA3075" w:rsidRPr="000F4B3D">
        <w:rPr>
          <w:rFonts w:ascii="Book Antiqua" w:hAnsi="Book Antiqua"/>
          <w:sz w:val="23"/>
          <w:szCs w:val="23"/>
        </w:rPr>
        <w:t xml:space="preserve">submetida </w:t>
      </w:r>
      <w:r w:rsidR="00FC1B83" w:rsidRPr="000F4B3D">
        <w:rPr>
          <w:rFonts w:ascii="Book Antiqua" w:hAnsi="Book Antiqua"/>
          <w:sz w:val="23"/>
          <w:szCs w:val="23"/>
        </w:rPr>
        <w:t>a</w:t>
      </w:r>
      <w:r w:rsidR="00CA3075" w:rsidRPr="000F4B3D">
        <w:rPr>
          <w:rFonts w:ascii="Book Antiqua" w:hAnsi="Book Antiqua"/>
          <w:sz w:val="23"/>
          <w:szCs w:val="23"/>
        </w:rPr>
        <w:t xml:space="preserve"> esta Assessoria Jurídica</w:t>
      </w:r>
      <w:r w:rsidR="00FC1B83" w:rsidRPr="000F4B3D">
        <w:rPr>
          <w:rFonts w:ascii="Book Antiqua" w:hAnsi="Book Antiqua"/>
          <w:sz w:val="23"/>
          <w:szCs w:val="23"/>
        </w:rPr>
        <w:t xml:space="preserve"> para análise</w:t>
      </w:r>
      <w:r w:rsidR="00CA3075" w:rsidRPr="000F4B3D">
        <w:rPr>
          <w:rFonts w:ascii="Book Antiqua" w:hAnsi="Book Antiqua"/>
          <w:sz w:val="23"/>
          <w:szCs w:val="23"/>
        </w:rPr>
        <w:t xml:space="preserve"> se reveste de constitucionalidade, legalidade e juridicidade, </w:t>
      </w:r>
      <w:r w:rsidR="00CA3075" w:rsidRPr="000F4B3D">
        <w:rPr>
          <w:rFonts w:ascii="Book Antiqua" w:hAnsi="Book Antiqua"/>
          <w:b/>
          <w:sz w:val="23"/>
          <w:szCs w:val="23"/>
        </w:rPr>
        <w:t>podendo ser apreciada</w:t>
      </w:r>
      <w:r w:rsidR="001D7ED7" w:rsidRPr="000F4B3D">
        <w:rPr>
          <w:rFonts w:ascii="Book Antiqua" w:hAnsi="Book Antiqua"/>
          <w:sz w:val="23"/>
          <w:szCs w:val="23"/>
        </w:rPr>
        <w:t xml:space="preserve"> por esta Casa Legislativa, observando as recomendações constantes no item 3 deste opinativo.</w:t>
      </w:r>
    </w:p>
    <w:p w:rsidR="0008133C" w:rsidRPr="000F4B3D" w:rsidRDefault="0008133C" w:rsidP="00CA3075">
      <w:pPr>
        <w:ind w:firstLine="1701"/>
        <w:jc w:val="both"/>
        <w:rPr>
          <w:rFonts w:ascii="Book Antiqua" w:hAnsi="Book Antiqua"/>
          <w:sz w:val="23"/>
          <w:szCs w:val="23"/>
        </w:rPr>
      </w:pPr>
      <w:r>
        <w:rPr>
          <w:rFonts w:ascii="Book Antiqua" w:hAnsi="Book Antiqua"/>
          <w:sz w:val="23"/>
          <w:szCs w:val="23"/>
        </w:rPr>
        <w:t xml:space="preserve">Esta Assessoria Jurídica, como não pode ser diferente, se exime de emitir opinião acerca da análise da oportunidade e conveniência do acolhimento das sugestões aqui levadas em consideração e muito menos quanto à aprovação da matéria, cujo julgamento político </w:t>
      </w:r>
      <w:r w:rsidR="00AD1617">
        <w:rPr>
          <w:rFonts w:ascii="Book Antiqua" w:hAnsi="Book Antiqua"/>
          <w:sz w:val="23"/>
          <w:szCs w:val="23"/>
        </w:rPr>
        <w:t xml:space="preserve">deve ser </w:t>
      </w:r>
      <w:r w:rsidR="00AD1617">
        <w:rPr>
          <w:rFonts w:ascii="Book Antiqua" w:hAnsi="Book Antiqua"/>
          <w:sz w:val="23"/>
          <w:szCs w:val="23"/>
        </w:rPr>
        <w:lastRenderedPageBreak/>
        <w:t>exercido, de forma exclusiva, pelos senhores</w:t>
      </w:r>
      <w:r>
        <w:rPr>
          <w:rFonts w:ascii="Book Antiqua" w:hAnsi="Book Antiqua"/>
          <w:sz w:val="23"/>
          <w:szCs w:val="23"/>
        </w:rPr>
        <w:t xml:space="preserve"> parlamentares</w:t>
      </w:r>
      <w:r w:rsidR="00AD1617">
        <w:rPr>
          <w:rFonts w:ascii="Book Antiqua" w:hAnsi="Book Antiqua"/>
          <w:sz w:val="23"/>
          <w:szCs w:val="23"/>
        </w:rPr>
        <w:t xml:space="preserve"> e senhora parlamentar</w:t>
      </w:r>
      <w:r>
        <w:rPr>
          <w:rFonts w:ascii="Book Antiqua" w:hAnsi="Book Antiqua"/>
          <w:sz w:val="23"/>
          <w:szCs w:val="23"/>
        </w:rPr>
        <w:t xml:space="preserve"> </w:t>
      </w:r>
      <w:r w:rsidR="00AD1617">
        <w:rPr>
          <w:rFonts w:ascii="Book Antiqua" w:hAnsi="Book Antiqua"/>
          <w:sz w:val="23"/>
          <w:szCs w:val="23"/>
        </w:rPr>
        <w:t>integrantes d</w:t>
      </w:r>
      <w:r>
        <w:rPr>
          <w:rFonts w:ascii="Book Antiqua" w:hAnsi="Book Antiqua"/>
          <w:sz w:val="23"/>
          <w:szCs w:val="23"/>
        </w:rPr>
        <w:t>esta</w:t>
      </w:r>
      <w:r w:rsidR="00AD1617">
        <w:rPr>
          <w:rFonts w:ascii="Book Antiqua" w:hAnsi="Book Antiqua"/>
          <w:sz w:val="23"/>
          <w:szCs w:val="23"/>
        </w:rPr>
        <w:t xml:space="preserve"> Augusta</w:t>
      </w:r>
      <w:r>
        <w:rPr>
          <w:rFonts w:ascii="Book Antiqua" w:hAnsi="Book Antiqua"/>
          <w:sz w:val="23"/>
          <w:szCs w:val="23"/>
        </w:rPr>
        <w:t xml:space="preserve"> Casa Legislativa.</w:t>
      </w:r>
    </w:p>
    <w:p w:rsidR="00CA3075" w:rsidRPr="000F4B3D" w:rsidRDefault="00FC1B83" w:rsidP="00CA3075">
      <w:pPr>
        <w:ind w:firstLine="1701"/>
        <w:jc w:val="both"/>
        <w:rPr>
          <w:rFonts w:ascii="Book Antiqua" w:hAnsi="Book Antiqua"/>
          <w:sz w:val="23"/>
          <w:szCs w:val="23"/>
        </w:rPr>
      </w:pPr>
      <w:r w:rsidRPr="000F4B3D">
        <w:rPr>
          <w:rFonts w:ascii="Book Antiqua" w:hAnsi="Book Antiqua"/>
          <w:sz w:val="23"/>
          <w:szCs w:val="23"/>
        </w:rPr>
        <w:t>É o parecer, sob censura.</w:t>
      </w:r>
    </w:p>
    <w:p w:rsidR="00FC1B83" w:rsidRPr="000F4B3D" w:rsidRDefault="00FC1B83" w:rsidP="00CA3075">
      <w:pPr>
        <w:ind w:firstLine="1701"/>
        <w:jc w:val="both"/>
        <w:rPr>
          <w:rFonts w:ascii="Book Antiqua" w:hAnsi="Book Antiqua"/>
          <w:sz w:val="23"/>
          <w:szCs w:val="23"/>
        </w:rPr>
      </w:pPr>
      <w:r w:rsidRPr="000F4B3D">
        <w:rPr>
          <w:rFonts w:ascii="Book Antiqua" w:hAnsi="Book Antiqua"/>
          <w:sz w:val="23"/>
          <w:szCs w:val="23"/>
        </w:rPr>
        <w:t>Câmara Municipal de Leopoldina, 12 de março de 2018.</w:t>
      </w:r>
    </w:p>
    <w:p w:rsidR="00FC1B83" w:rsidRPr="000F4B3D" w:rsidRDefault="00FC1B83" w:rsidP="00CA3075">
      <w:pPr>
        <w:ind w:firstLine="1701"/>
        <w:jc w:val="both"/>
        <w:rPr>
          <w:rFonts w:ascii="Book Antiqua" w:hAnsi="Book Antiqua"/>
          <w:sz w:val="23"/>
          <w:szCs w:val="23"/>
        </w:rPr>
      </w:pPr>
    </w:p>
    <w:p w:rsidR="00FC1B83" w:rsidRPr="000F4B3D" w:rsidRDefault="00FC1B83" w:rsidP="00FC1B83">
      <w:pPr>
        <w:spacing w:after="0" w:line="240" w:lineRule="auto"/>
        <w:ind w:firstLine="1701"/>
        <w:jc w:val="both"/>
        <w:rPr>
          <w:rFonts w:ascii="Book Antiqua" w:hAnsi="Book Antiqua"/>
          <w:b/>
          <w:sz w:val="23"/>
          <w:szCs w:val="23"/>
        </w:rPr>
      </w:pPr>
      <w:r w:rsidRPr="000F4B3D">
        <w:rPr>
          <w:rFonts w:ascii="Book Antiqua" w:hAnsi="Book Antiqua"/>
          <w:b/>
          <w:sz w:val="23"/>
          <w:szCs w:val="23"/>
        </w:rPr>
        <w:t xml:space="preserve">  </w:t>
      </w:r>
      <w:r w:rsidR="00656354" w:rsidRPr="000F4B3D">
        <w:rPr>
          <w:rFonts w:ascii="Book Antiqua" w:hAnsi="Book Antiqua"/>
          <w:b/>
          <w:sz w:val="23"/>
          <w:szCs w:val="23"/>
        </w:rPr>
        <w:t xml:space="preserve">   </w:t>
      </w:r>
      <w:r w:rsidRPr="000F4B3D">
        <w:rPr>
          <w:rFonts w:ascii="Book Antiqua" w:hAnsi="Book Antiqua"/>
          <w:b/>
          <w:sz w:val="23"/>
          <w:szCs w:val="23"/>
        </w:rPr>
        <w:t>EMANUEL ARAÚJO DE AZEVEDO ANTUNES</w:t>
      </w:r>
    </w:p>
    <w:p w:rsidR="00FC1B83" w:rsidRPr="000F4B3D" w:rsidRDefault="00FC1B83" w:rsidP="00FC1B83">
      <w:pPr>
        <w:spacing w:after="0" w:line="240" w:lineRule="auto"/>
        <w:ind w:firstLine="1701"/>
        <w:jc w:val="both"/>
        <w:rPr>
          <w:rFonts w:ascii="Book Antiqua" w:hAnsi="Book Antiqua"/>
          <w:b/>
          <w:sz w:val="23"/>
          <w:szCs w:val="23"/>
        </w:rPr>
      </w:pPr>
      <w:r w:rsidRPr="000F4B3D">
        <w:rPr>
          <w:rFonts w:ascii="Book Antiqua" w:hAnsi="Book Antiqua"/>
          <w:b/>
          <w:sz w:val="23"/>
          <w:szCs w:val="23"/>
        </w:rPr>
        <w:t xml:space="preserve">     </w:t>
      </w:r>
      <w:r w:rsidR="00656354" w:rsidRPr="000F4B3D">
        <w:rPr>
          <w:rFonts w:ascii="Book Antiqua" w:hAnsi="Book Antiqua"/>
          <w:b/>
          <w:sz w:val="23"/>
          <w:szCs w:val="23"/>
        </w:rPr>
        <w:t xml:space="preserve">     </w:t>
      </w:r>
      <w:r w:rsidRPr="000F4B3D">
        <w:rPr>
          <w:rFonts w:ascii="Book Antiqua" w:hAnsi="Book Antiqua"/>
          <w:b/>
          <w:sz w:val="23"/>
          <w:szCs w:val="23"/>
        </w:rPr>
        <w:t xml:space="preserve">     Assessor Jurídico – OAB/MG 82536</w:t>
      </w:r>
    </w:p>
    <w:p w:rsidR="00FC1B83" w:rsidRPr="000F4B3D" w:rsidRDefault="00FC1B83" w:rsidP="00FC1B83">
      <w:pPr>
        <w:spacing w:after="0" w:line="240" w:lineRule="auto"/>
        <w:ind w:firstLine="1701"/>
        <w:jc w:val="both"/>
        <w:rPr>
          <w:rFonts w:ascii="Book Antiqua" w:hAnsi="Book Antiqua"/>
          <w:b/>
          <w:sz w:val="23"/>
          <w:szCs w:val="23"/>
        </w:rPr>
      </w:pPr>
    </w:p>
    <w:p w:rsidR="00FC1B83" w:rsidRPr="000F4B3D" w:rsidRDefault="00FC1B83" w:rsidP="00FC1B83">
      <w:pPr>
        <w:spacing w:after="0" w:line="240" w:lineRule="auto"/>
        <w:ind w:firstLine="1701"/>
        <w:jc w:val="both"/>
        <w:rPr>
          <w:rFonts w:ascii="Book Antiqua" w:hAnsi="Book Antiqua"/>
          <w:b/>
          <w:sz w:val="23"/>
          <w:szCs w:val="23"/>
        </w:rPr>
      </w:pPr>
    </w:p>
    <w:p w:rsidR="00FC1B83" w:rsidRPr="000F4B3D" w:rsidRDefault="00FC1B83" w:rsidP="00FC1B83">
      <w:pPr>
        <w:spacing w:after="0" w:line="240" w:lineRule="auto"/>
        <w:ind w:firstLine="1701"/>
        <w:jc w:val="both"/>
        <w:rPr>
          <w:rFonts w:ascii="Book Antiqua" w:hAnsi="Book Antiqua"/>
          <w:b/>
          <w:sz w:val="23"/>
          <w:szCs w:val="23"/>
        </w:rPr>
      </w:pPr>
    </w:p>
    <w:p w:rsidR="00FC1B83" w:rsidRPr="000F4B3D" w:rsidRDefault="00FC1B83" w:rsidP="00FC1B83">
      <w:pPr>
        <w:spacing w:after="0" w:line="240" w:lineRule="auto"/>
        <w:ind w:firstLine="1701"/>
        <w:jc w:val="both"/>
        <w:rPr>
          <w:rFonts w:ascii="Book Antiqua" w:hAnsi="Book Antiqua"/>
          <w:b/>
          <w:sz w:val="23"/>
          <w:szCs w:val="23"/>
        </w:rPr>
      </w:pPr>
      <w:r w:rsidRPr="000F4B3D">
        <w:rPr>
          <w:rFonts w:ascii="Book Antiqua" w:hAnsi="Book Antiqua"/>
          <w:b/>
          <w:sz w:val="23"/>
          <w:szCs w:val="23"/>
        </w:rPr>
        <w:t xml:space="preserve">          </w:t>
      </w:r>
      <w:r w:rsidR="00656354" w:rsidRPr="000F4B3D">
        <w:rPr>
          <w:rFonts w:ascii="Book Antiqua" w:hAnsi="Book Antiqua"/>
          <w:b/>
          <w:sz w:val="23"/>
          <w:szCs w:val="23"/>
        </w:rPr>
        <w:t xml:space="preserve">   </w:t>
      </w:r>
      <w:r w:rsidRPr="000F4B3D">
        <w:rPr>
          <w:rFonts w:ascii="Book Antiqua" w:hAnsi="Book Antiqua"/>
          <w:b/>
          <w:sz w:val="23"/>
          <w:szCs w:val="23"/>
        </w:rPr>
        <w:t xml:space="preserve">         WESLEY MORAES BOTELHO </w:t>
      </w:r>
    </w:p>
    <w:p w:rsidR="00FC1B83" w:rsidRPr="000F4B3D" w:rsidRDefault="00FC1B83" w:rsidP="00FC1B83">
      <w:pPr>
        <w:spacing w:after="0" w:line="240" w:lineRule="auto"/>
        <w:ind w:firstLine="1701"/>
        <w:jc w:val="both"/>
        <w:rPr>
          <w:rFonts w:ascii="Book Antiqua" w:hAnsi="Book Antiqua"/>
          <w:b/>
          <w:sz w:val="23"/>
          <w:szCs w:val="23"/>
        </w:rPr>
      </w:pPr>
      <w:r w:rsidRPr="000F4B3D">
        <w:rPr>
          <w:rFonts w:ascii="Book Antiqua" w:hAnsi="Book Antiqua"/>
          <w:b/>
          <w:sz w:val="23"/>
          <w:szCs w:val="23"/>
        </w:rPr>
        <w:t xml:space="preserve">             </w:t>
      </w:r>
      <w:r w:rsidR="00656354" w:rsidRPr="000F4B3D">
        <w:rPr>
          <w:rFonts w:ascii="Book Antiqua" w:hAnsi="Book Antiqua"/>
          <w:b/>
          <w:sz w:val="23"/>
          <w:szCs w:val="23"/>
        </w:rPr>
        <w:t xml:space="preserve">  </w:t>
      </w:r>
      <w:r w:rsidRPr="000F4B3D">
        <w:rPr>
          <w:rFonts w:ascii="Book Antiqua" w:hAnsi="Book Antiqua"/>
          <w:b/>
          <w:sz w:val="23"/>
          <w:szCs w:val="23"/>
        </w:rPr>
        <w:t xml:space="preserve">    Assessor Jurídico – OAB/MG 45047</w:t>
      </w:r>
    </w:p>
    <w:p w:rsidR="00FC1B83" w:rsidRPr="000F4B3D" w:rsidRDefault="00FC1B83" w:rsidP="00FC1B83">
      <w:pPr>
        <w:spacing w:after="0" w:line="240" w:lineRule="auto"/>
        <w:ind w:firstLine="1701"/>
        <w:jc w:val="both"/>
        <w:rPr>
          <w:rFonts w:ascii="Book Antiqua" w:hAnsi="Book Antiqua"/>
          <w:b/>
          <w:sz w:val="23"/>
          <w:szCs w:val="23"/>
        </w:rPr>
      </w:pPr>
    </w:p>
    <w:p w:rsidR="00FC1B83" w:rsidRPr="000F4B3D" w:rsidRDefault="00FC1B83" w:rsidP="00FC1B83">
      <w:pPr>
        <w:spacing w:after="0" w:line="240" w:lineRule="auto"/>
        <w:ind w:firstLine="1701"/>
        <w:jc w:val="both"/>
        <w:rPr>
          <w:rFonts w:ascii="Book Antiqua" w:hAnsi="Book Antiqua"/>
          <w:b/>
          <w:sz w:val="23"/>
          <w:szCs w:val="23"/>
        </w:rPr>
      </w:pPr>
    </w:p>
    <w:p w:rsidR="00FC1B83" w:rsidRPr="000F4B3D" w:rsidRDefault="00FC1B83" w:rsidP="00FC1B83">
      <w:pPr>
        <w:spacing w:after="0" w:line="240" w:lineRule="auto"/>
        <w:ind w:firstLine="1701"/>
        <w:jc w:val="both"/>
        <w:rPr>
          <w:rFonts w:ascii="Book Antiqua" w:hAnsi="Book Antiqua"/>
          <w:b/>
          <w:sz w:val="23"/>
          <w:szCs w:val="23"/>
        </w:rPr>
      </w:pPr>
    </w:p>
    <w:p w:rsidR="00FC1B83" w:rsidRPr="000F4B3D" w:rsidRDefault="00FC1B83" w:rsidP="00FC1B83">
      <w:pPr>
        <w:spacing w:after="0" w:line="240" w:lineRule="auto"/>
        <w:ind w:firstLine="1701"/>
        <w:jc w:val="both"/>
        <w:rPr>
          <w:rFonts w:ascii="Book Antiqua" w:hAnsi="Book Antiqua"/>
          <w:b/>
          <w:sz w:val="23"/>
          <w:szCs w:val="23"/>
        </w:rPr>
      </w:pPr>
      <w:r w:rsidRPr="000F4B3D">
        <w:rPr>
          <w:rFonts w:ascii="Book Antiqua" w:hAnsi="Book Antiqua"/>
          <w:b/>
          <w:sz w:val="23"/>
          <w:szCs w:val="23"/>
        </w:rPr>
        <w:t xml:space="preserve">        </w:t>
      </w:r>
      <w:r w:rsidR="00656354" w:rsidRPr="000F4B3D">
        <w:rPr>
          <w:rFonts w:ascii="Book Antiqua" w:hAnsi="Book Antiqua"/>
          <w:b/>
          <w:sz w:val="23"/>
          <w:szCs w:val="23"/>
        </w:rPr>
        <w:t xml:space="preserve">    </w:t>
      </w:r>
      <w:r w:rsidRPr="000F4B3D">
        <w:rPr>
          <w:rFonts w:ascii="Book Antiqua" w:hAnsi="Book Antiqua"/>
          <w:b/>
          <w:sz w:val="23"/>
          <w:szCs w:val="23"/>
        </w:rPr>
        <w:t xml:space="preserve"> MARCUS VINÍCUS MIRANDA FARJADO </w:t>
      </w:r>
    </w:p>
    <w:p w:rsidR="00656354" w:rsidRPr="000F4B3D" w:rsidRDefault="00FC1B83" w:rsidP="00656354">
      <w:pPr>
        <w:spacing w:after="0" w:line="240" w:lineRule="auto"/>
        <w:ind w:firstLine="1418"/>
        <w:jc w:val="both"/>
        <w:rPr>
          <w:rFonts w:ascii="Times New Roman" w:hAnsi="Times New Roman" w:cs="Times New Roman"/>
          <w:b/>
          <w:sz w:val="23"/>
          <w:szCs w:val="23"/>
        </w:rPr>
      </w:pPr>
      <w:r w:rsidRPr="000F4B3D">
        <w:rPr>
          <w:rFonts w:ascii="Book Antiqua" w:hAnsi="Book Antiqua"/>
          <w:b/>
          <w:sz w:val="23"/>
          <w:szCs w:val="23"/>
        </w:rPr>
        <w:t xml:space="preserve">            </w:t>
      </w:r>
      <w:r w:rsidR="00656354" w:rsidRPr="000F4B3D">
        <w:rPr>
          <w:rFonts w:ascii="Book Antiqua" w:hAnsi="Book Antiqua"/>
          <w:b/>
          <w:sz w:val="23"/>
          <w:szCs w:val="23"/>
        </w:rPr>
        <w:t xml:space="preserve">     </w:t>
      </w:r>
      <w:r w:rsidRPr="000F4B3D">
        <w:rPr>
          <w:rFonts w:ascii="Book Antiqua" w:hAnsi="Book Antiqua"/>
          <w:b/>
          <w:sz w:val="23"/>
          <w:szCs w:val="23"/>
        </w:rPr>
        <w:t xml:space="preserve">        Assessor Jurídico –</w:t>
      </w:r>
      <w:r w:rsidR="00656354" w:rsidRPr="000F4B3D">
        <w:rPr>
          <w:rFonts w:ascii="Book Antiqua" w:hAnsi="Book Antiqua"/>
          <w:b/>
          <w:sz w:val="23"/>
          <w:szCs w:val="23"/>
        </w:rPr>
        <w:t xml:space="preserve"> </w:t>
      </w:r>
      <w:r w:rsidR="00656354" w:rsidRPr="000F4B3D">
        <w:rPr>
          <w:rFonts w:ascii="Times New Roman" w:hAnsi="Times New Roman" w:cs="Times New Roman"/>
          <w:b/>
          <w:sz w:val="23"/>
          <w:szCs w:val="23"/>
        </w:rPr>
        <w:t>OAB/MG 101045</w:t>
      </w:r>
    </w:p>
    <w:p w:rsidR="00FC1B83" w:rsidRPr="000F4B3D" w:rsidRDefault="00FC1B83" w:rsidP="00FC1B83">
      <w:pPr>
        <w:spacing w:after="0" w:line="240" w:lineRule="auto"/>
        <w:ind w:firstLine="1701"/>
        <w:jc w:val="both"/>
        <w:rPr>
          <w:rFonts w:ascii="Book Antiqua" w:hAnsi="Book Antiqua"/>
          <w:b/>
          <w:sz w:val="23"/>
          <w:szCs w:val="23"/>
        </w:rPr>
      </w:pPr>
    </w:p>
    <w:sectPr w:rsidR="00FC1B83" w:rsidRPr="000F4B3D" w:rsidSect="000F4B3D">
      <w:headerReference w:type="default" r:id="rId8"/>
      <w:footerReference w:type="default" r:id="rId9"/>
      <w:pgSz w:w="11906" w:h="16838"/>
      <w:pgMar w:top="1418" w:right="1701" w:bottom="1134" w:left="255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DED" w:rsidRDefault="00305DED" w:rsidP="00656354">
      <w:pPr>
        <w:spacing w:after="0" w:line="240" w:lineRule="auto"/>
      </w:pPr>
      <w:r>
        <w:separator/>
      </w:r>
    </w:p>
  </w:endnote>
  <w:endnote w:type="continuationSeparator" w:id="1">
    <w:p w:rsidR="00305DED" w:rsidRDefault="00305DED" w:rsidP="00656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45452"/>
      <w:docPartObj>
        <w:docPartGallery w:val="Page Numbers (Bottom of Page)"/>
        <w:docPartUnique/>
      </w:docPartObj>
    </w:sdtPr>
    <w:sdtContent>
      <w:sdt>
        <w:sdtPr>
          <w:id w:val="98381352"/>
          <w:docPartObj>
            <w:docPartGallery w:val="Page Numbers (Top of Page)"/>
            <w:docPartUnique/>
          </w:docPartObj>
        </w:sdtPr>
        <w:sdtContent>
          <w:p w:rsidR="0008133C" w:rsidRDefault="0008133C">
            <w:pPr>
              <w:pStyle w:val="Rodap"/>
            </w:pPr>
            <w:r>
              <w:t xml:space="preserve">Página </w:t>
            </w:r>
            <w:r>
              <w:rPr>
                <w:b/>
                <w:sz w:val="24"/>
                <w:szCs w:val="24"/>
              </w:rPr>
              <w:fldChar w:fldCharType="begin"/>
            </w:r>
            <w:r>
              <w:rPr>
                <w:b/>
              </w:rPr>
              <w:instrText>PAGE</w:instrText>
            </w:r>
            <w:r>
              <w:rPr>
                <w:b/>
                <w:sz w:val="24"/>
                <w:szCs w:val="24"/>
              </w:rPr>
              <w:fldChar w:fldCharType="separate"/>
            </w:r>
            <w:r w:rsidR="00321552">
              <w:rPr>
                <w:b/>
                <w:noProof/>
              </w:rPr>
              <w:t>10</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321552">
              <w:rPr>
                <w:b/>
                <w:noProof/>
              </w:rPr>
              <w:t>11</w:t>
            </w:r>
            <w:r>
              <w:rPr>
                <w:b/>
                <w:sz w:val="24"/>
                <w:szCs w:val="24"/>
              </w:rPr>
              <w:fldChar w:fldCharType="end"/>
            </w:r>
          </w:p>
        </w:sdtContent>
      </w:sdt>
    </w:sdtContent>
  </w:sdt>
  <w:p w:rsidR="0008133C" w:rsidRDefault="0008133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DED" w:rsidRDefault="00305DED" w:rsidP="00656354">
      <w:pPr>
        <w:spacing w:after="0" w:line="240" w:lineRule="auto"/>
      </w:pPr>
      <w:r>
        <w:separator/>
      </w:r>
    </w:p>
  </w:footnote>
  <w:footnote w:type="continuationSeparator" w:id="1">
    <w:p w:rsidR="00305DED" w:rsidRDefault="00305DED" w:rsidP="006563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33C" w:rsidRPr="00831CE4" w:rsidRDefault="0008133C" w:rsidP="003817FC">
    <w:pPr>
      <w:pStyle w:val="Cabealho"/>
      <w:jc w:val="center"/>
      <w:rPr>
        <w:b/>
        <w:bCs/>
        <w:sz w:val="32"/>
        <w:szCs w:val="32"/>
      </w:rPr>
    </w:pPr>
    <w:r w:rsidRPr="004A4412">
      <w:rPr>
        <w:noProof/>
        <w:lang w:eastAsia="pt-BR"/>
      </w:rPr>
      <w:drawing>
        <wp:inline distT="0" distB="0" distL="0" distR="0">
          <wp:extent cx="1095375" cy="10953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95375" cy="1095375"/>
                  </a:xfrm>
                  <a:prstGeom prst="rect">
                    <a:avLst/>
                  </a:prstGeom>
                  <a:noFill/>
                  <a:ln w="9525">
                    <a:noFill/>
                    <a:miter lim="800000"/>
                    <a:headEnd/>
                    <a:tailEnd/>
                  </a:ln>
                </pic:spPr>
              </pic:pic>
            </a:graphicData>
          </a:graphic>
        </wp:inline>
      </w:drawing>
    </w:r>
  </w:p>
  <w:p w:rsidR="0008133C" w:rsidRDefault="0008133C" w:rsidP="003817FC">
    <w:pPr>
      <w:pStyle w:val="Ttulo1"/>
      <w:jc w:val="center"/>
      <w:rPr>
        <w:rFonts w:asciiTheme="minorHAnsi" w:eastAsiaTheme="minorHAnsi" w:hAnsiTheme="minorHAnsi" w:cstheme="minorBidi"/>
        <w:b/>
        <w:bCs/>
        <w:sz w:val="32"/>
        <w:szCs w:val="32"/>
        <w:lang w:eastAsia="en-US"/>
      </w:rPr>
    </w:pPr>
    <w:r w:rsidRPr="00831CE4">
      <w:rPr>
        <w:rFonts w:asciiTheme="minorHAnsi" w:eastAsiaTheme="minorHAnsi" w:hAnsiTheme="minorHAnsi" w:cstheme="minorBidi"/>
        <w:b/>
        <w:bCs/>
        <w:sz w:val="32"/>
        <w:szCs w:val="32"/>
        <w:lang w:eastAsia="en-US"/>
      </w:rPr>
      <w:t xml:space="preserve">  Poder Legislativo</w:t>
    </w:r>
  </w:p>
  <w:p w:rsidR="0008133C" w:rsidRDefault="0008133C" w:rsidP="003817FC">
    <w:pPr>
      <w:pStyle w:val="Cabealho"/>
      <w:rPr>
        <w:b/>
        <w:bCs/>
        <w:sz w:val="32"/>
        <w:szCs w:val="32"/>
      </w:rPr>
    </w:pPr>
    <w:r w:rsidRPr="00485691">
      <w:rPr>
        <w:b/>
        <w:bCs/>
        <w:sz w:val="32"/>
        <w:szCs w:val="32"/>
      </w:rPr>
      <w:t xml:space="preserve">                 </w:t>
    </w:r>
    <w:r>
      <w:rPr>
        <w:b/>
        <w:bCs/>
        <w:sz w:val="32"/>
        <w:szCs w:val="32"/>
      </w:rPr>
      <w:t xml:space="preserve">         </w:t>
    </w:r>
    <w:r w:rsidRPr="00485691">
      <w:rPr>
        <w:b/>
        <w:bCs/>
        <w:sz w:val="32"/>
        <w:szCs w:val="32"/>
      </w:rPr>
      <w:t>CÂMARA MUNICIPAL DE LEOPOLDINA</w:t>
    </w:r>
  </w:p>
  <w:p w:rsidR="0008133C" w:rsidRDefault="0008133C" w:rsidP="003817FC">
    <w:pPr>
      <w:pStyle w:val="Cabealho"/>
      <w:rPr>
        <w:b/>
        <w:bCs/>
        <w:sz w:val="32"/>
        <w:szCs w:val="32"/>
      </w:rPr>
    </w:pPr>
    <w:r>
      <w:rPr>
        <w:b/>
        <w:bCs/>
        <w:sz w:val="32"/>
        <w:szCs w:val="32"/>
      </w:rPr>
      <w:t xml:space="preserve">                                         </w:t>
    </w:r>
    <w:r w:rsidRPr="00831CE4">
      <w:rPr>
        <w:b/>
        <w:bCs/>
        <w:sz w:val="32"/>
        <w:szCs w:val="32"/>
      </w:rPr>
      <w:t>Assessoria Jurídica</w:t>
    </w:r>
    <w:r>
      <w:rPr>
        <w:b/>
        <w:bCs/>
        <w:sz w:val="32"/>
        <w:szCs w:val="32"/>
      </w:rPr>
      <w:t xml:space="preserve"> </w:t>
    </w:r>
  </w:p>
  <w:p w:rsidR="0008133C" w:rsidRDefault="0008133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13FD5"/>
    <w:multiLevelType w:val="hybridMultilevel"/>
    <w:tmpl w:val="78D87FD4"/>
    <w:lvl w:ilvl="0" w:tplc="A1246B64">
      <w:start w:val="2"/>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nsid w:val="35647572"/>
    <w:multiLevelType w:val="hybridMultilevel"/>
    <w:tmpl w:val="CA6E7A4A"/>
    <w:lvl w:ilvl="0" w:tplc="11AEBA3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685EB4"/>
    <w:rsid w:val="0008133C"/>
    <w:rsid w:val="000F4B3D"/>
    <w:rsid w:val="00181079"/>
    <w:rsid w:val="001D7ED7"/>
    <w:rsid w:val="00246E07"/>
    <w:rsid w:val="002564CC"/>
    <w:rsid w:val="00257CA3"/>
    <w:rsid w:val="00291377"/>
    <w:rsid w:val="002E01BD"/>
    <w:rsid w:val="00305DED"/>
    <w:rsid w:val="00321552"/>
    <w:rsid w:val="003817FC"/>
    <w:rsid w:val="00426CA8"/>
    <w:rsid w:val="00427ABA"/>
    <w:rsid w:val="00443507"/>
    <w:rsid w:val="00645785"/>
    <w:rsid w:val="00656354"/>
    <w:rsid w:val="00685EB4"/>
    <w:rsid w:val="00710606"/>
    <w:rsid w:val="00784F18"/>
    <w:rsid w:val="00856B87"/>
    <w:rsid w:val="00885E0F"/>
    <w:rsid w:val="008F5F53"/>
    <w:rsid w:val="0092235F"/>
    <w:rsid w:val="00AB12A4"/>
    <w:rsid w:val="00AD1617"/>
    <w:rsid w:val="00AF616B"/>
    <w:rsid w:val="00CA3075"/>
    <w:rsid w:val="00DD6319"/>
    <w:rsid w:val="00DE5646"/>
    <w:rsid w:val="00FB1F59"/>
    <w:rsid w:val="00FC1B8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EB4"/>
  </w:style>
  <w:style w:type="paragraph" w:styleId="Ttulo1">
    <w:name w:val="heading 1"/>
    <w:aliases w:val="título 1"/>
    <w:basedOn w:val="Normal"/>
    <w:next w:val="Normal"/>
    <w:link w:val="Ttulo1Char"/>
    <w:qFormat/>
    <w:rsid w:val="003817FC"/>
    <w:pPr>
      <w:keepNext/>
      <w:spacing w:after="0" w:line="240" w:lineRule="auto"/>
      <w:outlineLvl w:val="0"/>
    </w:pPr>
    <w:rPr>
      <w:rFonts w:ascii="Times New Roman" w:eastAsia="Times New Roman" w:hAnsi="Times New Roman" w:cs="Times New Roman"/>
      <w:sz w:val="4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85EB4"/>
    <w:rPr>
      <w:b/>
      <w:bCs/>
    </w:rPr>
  </w:style>
  <w:style w:type="character" w:styleId="nfase">
    <w:name w:val="Emphasis"/>
    <w:basedOn w:val="Fontepargpadro"/>
    <w:uiPriority w:val="20"/>
    <w:qFormat/>
    <w:rsid w:val="00685EB4"/>
    <w:rPr>
      <w:i/>
      <w:iCs/>
    </w:rPr>
  </w:style>
  <w:style w:type="paragraph" w:styleId="Cabealho">
    <w:name w:val="header"/>
    <w:basedOn w:val="Normal"/>
    <w:link w:val="CabealhoChar"/>
    <w:unhideWhenUsed/>
    <w:rsid w:val="006563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6354"/>
  </w:style>
  <w:style w:type="paragraph" w:styleId="Rodap">
    <w:name w:val="footer"/>
    <w:basedOn w:val="Normal"/>
    <w:link w:val="RodapChar"/>
    <w:uiPriority w:val="99"/>
    <w:unhideWhenUsed/>
    <w:rsid w:val="00656354"/>
    <w:pPr>
      <w:tabs>
        <w:tab w:val="center" w:pos="4252"/>
        <w:tab w:val="right" w:pos="8504"/>
      </w:tabs>
      <w:spacing w:after="0" w:line="240" w:lineRule="auto"/>
    </w:pPr>
  </w:style>
  <w:style w:type="character" w:customStyle="1" w:styleId="RodapChar">
    <w:name w:val="Rodapé Char"/>
    <w:basedOn w:val="Fontepargpadro"/>
    <w:link w:val="Rodap"/>
    <w:uiPriority w:val="99"/>
    <w:rsid w:val="00656354"/>
  </w:style>
  <w:style w:type="paragraph" w:styleId="Textodebalo">
    <w:name w:val="Balloon Text"/>
    <w:basedOn w:val="Normal"/>
    <w:link w:val="TextodebaloChar"/>
    <w:uiPriority w:val="99"/>
    <w:semiHidden/>
    <w:unhideWhenUsed/>
    <w:rsid w:val="003817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17FC"/>
    <w:rPr>
      <w:rFonts w:ascii="Tahoma" w:hAnsi="Tahoma" w:cs="Tahoma"/>
      <w:sz w:val="16"/>
      <w:szCs w:val="16"/>
    </w:rPr>
  </w:style>
  <w:style w:type="character" w:customStyle="1" w:styleId="Ttulo1Char">
    <w:name w:val="Título 1 Char"/>
    <w:aliases w:val="título 1 Char"/>
    <w:basedOn w:val="Fontepargpadro"/>
    <w:link w:val="Ttulo1"/>
    <w:rsid w:val="003817FC"/>
    <w:rPr>
      <w:rFonts w:ascii="Times New Roman" w:eastAsia="Times New Roman" w:hAnsi="Times New Roman" w:cs="Times New Roman"/>
      <w:sz w:val="40"/>
      <w:szCs w:val="20"/>
      <w:lang w:eastAsia="pt-BR"/>
    </w:rPr>
  </w:style>
  <w:style w:type="character" w:styleId="Hyperlink">
    <w:name w:val="Hyperlink"/>
    <w:basedOn w:val="Fontepargpadro"/>
    <w:uiPriority w:val="99"/>
    <w:unhideWhenUsed/>
    <w:rsid w:val="003817FC"/>
    <w:rPr>
      <w:color w:val="0000FF" w:themeColor="hyperlink"/>
      <w:u w:val="single"/>
    </w:rPr>
  </w:style>
  <w:style w:type="paragraph" w:styleId="NormalWeb">
    <w:name w:val="Normal (Web)"/>
    <w:basedOn w:val="Normal"/>
    <w:uiPriority w:val="99"/>
    <w:unhideWhenUsed/>
    <w:rsid w:val="00246E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813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opoldina.mg.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11</Pages>
  <Words>2535</Words>
  <Characters>13695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11</cp:revision>
  <dcterms:created xsi:type="dcterms:W3CDTF">2018-03-10T20:22:00Z</dcterms:created>
  <dcterms:modified xsi:type="dcterms:W3CDTF">2018-03-12T21:01:00Z</dcterms:modified>
</cp:coreProperties>
</file>